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C8D3B">
      <w:pPr>
        <w:spacing w:line="360" w:lineRule="auto"/>
        <w:jc w:val="center"/>
        <w:rPr>
          <w:rFonts w:ascii="Times New Roman" w:hAnsi="Times New Roman" w:eastAsia="宋体" w:cs="Times New Roman"/>
          <w:b/>
          <w:snapToGrid w:val="0"/>
          <w:kern w:val="4"/>
          <w:sz w:val="48"/>
          <w:szCs w:val="48"/>
        </w:rPr>
      </w:pPr>
    </w:p>
    <w:p w14:paraId="6D12DA16">
      <w:pPr>
        <w:spacing w:line="360" w:lineRule="auto"/>
        <w:jc w:val="center"/>
        <w:rPr>
          <w:rFonts w:ascii="Times New Roman" w:hAnsi="Times New Roman" w:eastAsia="宋体" w:cs="Times New Roman"/>
          <w:b/>
          <w:snapToGrid w:val="0"/>
          <w:kern w:val="4"/>
          <w:sz w:val="48"/>
          <w:szCs w:val="48"/>
        </w:rPr>
      </w:pPr>
    </w:p>
    <w:p w14:paraId="07456D0A">
      <w:pPr>
        <w:spacing w:line="360" w:lineRule="auto"/>
        <w:jc w:val="center"/>
        <w:rPr>
          <w:rFonts w:ascii="Times New Roman" w:hAnsi="Times New Roman" w:eastAsia="宋体" w:cs="Times New Roman"/>
          <w:b/>
          <w:snapToGrid w:val="0"/>
          <w:kern w:val="4"/>
          <w:sz w:val="48"/>
          <w:szCs w:val="48"/>
        </w:rPr>
      </w:pPr>
    </w:p>
    <w:p w14:paraId="55E692E9">
      <w:pPr>
        <w:spacing w:line="360" w:lineRule="auto"/>
        <w:jc w:val="center"/>
        <w:rPr>
          <w:rFonts w:cs="Times New Roman" w:asciiTheme="minorEastAsia" w:hAnsiTheme="minorEastAsia"/>
          <w:b/>
          <w:bCs/>
          <w:snapToGrid w:val="0"/>
          <w:kern w:val="4"/>
          <w:sz w:val="48"/>
          <w:szCs w:val="48"/>
        </w:rPr>
      </w:pPr>
      <w:r>
        <w:rPr>
          <w:rFonts w:hint="eastAsia" w:asciiTheme="minorEastAsia" w:hAnsiTheme="minorEastAsia"/>
          <w:b/>
          <w:bCs/>
          <w:sz w:val="48"/>
          <w:szCs w:val="48"/>
        </w:rPr>
        <w:t>国道丹阿公路同江松花江公路大桥及引道工程项目</w:t>
      </w:r>
    </w:p>
    <w:p w14:paraId="099ED7EE">
      <w:pPr>
        <w:spacing w:line="360" w:lineRule="auto"/>
        <w:jc w:val="center"/>
        <w:rPr>
          <w:rFonts w:ascii="Times New Roman" w:hAnsi="Times New Roman" w:eastAsia="宋体" w:cs="Times New Roman"/>
          <w:b/>
          <w:snapToGrid w:val="0"/>
          <w:kern w:val="4"/>
          <w:sz w:val="48"/>
          <w:szCs w:val="48"/>
        </w:rPr>
      </w:pPr>
      <w:r>
        <w:rPr>
          <w:rFonts w:hint="eastAsia" w:ascii="Times New Roman" w:hAnsi="Times New Roman" w:eastAsia="宋体" w:cs="Times New Roman"/>
          <w:b/>
          <w:snapToGrid w:val="0"/>
          <w:kern w:val="4"/>
          <w:sz w:val="48"/>
          <w:szCs w:val="48"/>
        </w:rPr>
        <w:t>环境影响评价公众参与说明</w:t>
      </w:r>
    </w:p>
    <w:p w14:paraId="2DCE6C6D">
      <w:pPr>
        <w:spacing w:line="360" w:lineRule="auto"/>
        <w:jc w:val="center"/>
        <w:rPr>
          <w:rFonts w:ascii="Times New Roman" w:hAnsi="Times New Roman" w:eastAsia="宋体" w:cs="Times New Roman"/>
          <w:b/>
          <w:snapToGrid w:val="0"/>
          <w:kern w:val="4"/>
          <w:sz w:val="48"/>
          <w:szCs w:val="48"/>
        </w:rPr>
      </w:pPr>
    </w:p>
    <w:p w14:paraId="63225674">
      <w:pPr>
        <w:spacing w:line="360" w:lineRule="auto"/>
        <w:jc w:val="center"/>
        <w:rPr>
          <w:rFonts w:ascii="Times New Roman" w:hAnsi="Times New Roman" w:eastAsia="宋体" w:cs="Times New Roman"/>
          <w:b/>
          <w:snapToGrid w:val="0"/>
          <w:kern w:val="4"/>
          <w:sz w:val="48"/>
          <w:szCs w:val="48"/>
        </w:rPr>
      </w:pPr>
    </w:p>
    <w:p w14:paraId="375B9D92">
      <w:pPr>
        <w:ind w:firstLine="602"/>
        <w:rPr>
          <w:rFonts w:eastAsia="仿宋_GB2312"/>
          <w:b/>
          <w:sz w:val="30"/>
          <w:szCs w:val="30"/>
        </w:rPr>
      </w:pPr>
    </w:p>
    <w:p w14:paraId="50B8C66D">
      <w:pPr>
        <w:ind w:firstLine="602"/>
        <w:rPr>
          <w:rFonts w:eastAsia="仿宋_GB2312"/>
          <w:b/>
          <w:sz w:val="30"/>
          <w:szCs w:val="30"/>
        </w:rPr>
      </w:pPr>
    </w:p>
    <w:p w14:paraId="5BA11C03">
      <w:pPr>
        <w:ind w:firstLine="602"/>
        <w:rPr>
          <w:rFonts w:eastAsia="仿宋_GB2312"/>
          <w:b/>
          <w:sz w:val="30"/>
          <w:szCs w:val="30"/>
        </w:rPr>
      </w:pPr>
    </w:p>
    <w:p w14:paraId="4EBC85D1">
      <w:pPr>
        <w:ind w:firstLine="723"/>
        <w:rPr>
          <w:rFonts w:eastAsia="仿宋_GB2312"/>
          <w:b/>
          <w:bCs/>
          <w:sz w:val="36"/>
          <w:szCs w:val="36"/>
          <w:u w:val="single"/>
        </w:rPr>
      </w:pPr>
    </w:p>
    <w:p w14:paraId="31667DE4">
      <w:pPr>
        <w:ind w:firstLine="723"/>
        <w:rPr>
          <w:rFonts w:eastAsia="仿宋_GB2312"/>
          <w:b/>
          <w:bCs/>
          <w:sz w:val="36"/>
          <w:szCs w:val="36"/>
          <w:u w:val="single"/>
        </w:rPr>
      </w:pPr>
    </w:p>
    <w:p w14:paraId="43F85AEF">
      <w:pPr>
        <w:ind w:firstLine="723"/>
        <w:rPr>
          <w:rFonts w:eastAsia="仿宋_GB2312"/>
          <w:b/>
          <w:bCs/>
          <w:sz w:val="36"/>
          <w:szCs w:val="36"/>
          <w:u w:val="single"/>
        </w:rPr>
      </w:pPr>
    </w:p>
    <w:p w14:paraId="29C56B20">
      <w:pPr>
        <w:ind w:firstLine="723"/>
        <w:rPr>
          <w:rFonts w:eastAsia="仿宋_GB2312"/>
          <w:b/>
          <w:bCs/>
          <w:sz w:val="36"/>
          <w:szCs w:val="36"/>
          <w:u w:val="single"/>
        </w:rPr>
      </w:pPr>
    </w:p>
    <w:p w14:paraId="15AB7E79">
      <w:pPr>
        <w:ind w:firstLine="723"/>
        <w:rPr>
          <w:rFonts w:eastAsia="仿宋_GB2312"/>
          <w:b/>
          <w:bCs/>
          <w:sz w:val="36"/>
          <w:szCs w:val="36"/>
          <w:u w:val="single"/>
        </w:rPr>
      </w:pPr>
    </w:p>
    <w:p w14:paraId="6F1FA53F">
      <w:pPr>
        <w:ind w:firstLine="723"/>
        <w:rPr>
          <w:rFonts w:eastAsia="仿宋_GB2312"/>
          <w:b/>
          <w:bCs/>
          <w:sz w:val="36"/>
          <w:szCs w:val="36"/>
          <w:u w:val="single"/>
        </w:rPr>
      </w:pPr>
    </w:p>
    <w:p w14:paraId="5E5D0B32">
      <w:pPr>
        <w:spacing w:line="360" w:lineRule="auto"/>
        <w:jc w:val="center"/>
        <w:rPr>
          <w:b/>
          <w:bCs/>
          <w:sz w:val="36"/>
          <w:szCs w:val="36"/>
        </w:rPr>
      </w:pPr>
      <w:bookmarkStart w:id="0" w:name="_Toc349746454"/>
      <w:bookmarkStart w:id="1" w:name="_Toc351476638"/>
      <w:bookmarkStart w:id="2" w:name="_Toc349830329"/>
      <w:bookmarkStart w:id="3" w:name="_Toc361815121"/>
      <w:r>
        <w:rPr>
          <w:rFonts w:hint="eastAsia"/>
          <w:b/>
          <w:bCs/>
          <w:sz w:val="36"/>
          <w:szCs w:val="36"/>
        </w:rPr>
        <w:t>黑龙江省公路建设中心</w:t>
      </w:r>
    </w:p>
    <w:p w14:paraId="7C3FB9C6">
      <w:pPr>
        <w:spacing w:line="360" w:lineRule="auto"/>
        <w:jc w:val="center"/>
        <w:rPr>
          <w:rFonts w:hint="eastAsia" w:hAnsi="宋体"/>
          <w:b/>
          <w:bCs/>
          <w:sz w:val="36"/>
        </w:rPr>
        <w:sectPr>
          <w:pgSz w:w="11906" w:h="16838"/>
          <w:pgMar w:top="1440" w:right="1800" w:bottom="1440" w:left="1800" w:header="851" w:footer="992" w:gutter="0"/>
          <w:cols w:space="425" w:num="1"/>
          <w:docGrid w:type="lines" w:linePitch="312" w:charSpace="0"/>
        </w:sectPr>
      </w:pPr>
      <w:r>
        <w:rPr>
          <w:rFonts w:hAnsi="宋体"/>
          <w:b/>
          <w:bCs/>
          <w:sz w:val="36"/>
        </w:rPr>
        <w:t>二</w:t>
      </w:r>
      <w:r>
        <w:rPr>
          <w:b/>
          <w:bCs/>
          <w:sz w:val="36"/>
        </w:rPr>
        <w:t>O</w:t>
      </w:r>
      <w:r>
        <w:rPr>
          <w:rFonts w:hint="eastAsia"/>
          <w:b/>
          <w:bCs/>
          <w:sz w:val="36"/>
        </w:rPr>
        <w:t>二五</w:t>
      </w:r>
      <w:r>
        <w:rPr>
          <w:rFonts w:hAnsi="宋体"/>
          <w:b/>
          <w:bCs/>
          <w:sz w:val="36"/>
        </w:rPr>
        <w:t>年</w:t>
      </w:r>
      <w:r>
        <w:rPr>
          <w:rFonts w:hint="eastAsia" w:hAnsi="宋体"/>
          <w:b/>
          <w:bCs/>
          <w:sz w:val="36"/>
        </w:rPr>
        <w:t>五</w:t>
      </w:r>
      <w:r>
        <w:rPr>
          <w:rFonts w:hAnsi="宋体"/>
          <w:b/>
          <w:bCs/>
          <w:sz w:val="36"/>
        </w:rPr>
        <w:t>月</w:t>
      </w:r>
      <w:bookmarkEnd w:id="0"/>
      <w:bookmarkEnd w:id="1"/>
      <w:bookmarkEnd w:id="2"/>
      <w:bookmarkEnd w:id="3"/>
    </w:p>
    <w:p w14:paraId="33C6E734">
      <w:pPr>
        <w:pStyle w:val="19"/>
        <w:ind w:firstLine="480"/>
        <w:jc w:val="center"/>
        <w:rPr>
          <w:color w:val="auto"/>
          <w:sz w:val="32"/>
        </w:rPr>
      </w:pPr>
      <w:r>
        <w:rPr>
          <w:color w:val="auto"/>
          <w:sz w:val="32"/>
          <w:lang w:val="zh-CN"/>
        </w:rPr>
        <w:t>目</w:t>
      </w:r>
      <w:r>
        <w:rPr>
          <w:rFonts w:hint="eastAsia"/>
          <w:color w:val="auto"/>
          <w:sz w:val="32"/>
          <w:lang w:val="zh-CN"/>
        </w:rPr>
        <w:t xml:space="preserve"> </w:t>
      </w:r>
      <w:r>
        <w:rPr>
          <w:color w:val="auto"/>
          <w:sz w:val="32"/>
          <w:lang w:val="zh-CN"/>
        </w:rPr>
        <w:t>录</w:t>
      </w:r>
    </w:p>
    <w:p w14:paraId="280A51F2">
      <w:pPr>
        <w:pStyle w:val="11"/>
        <w:tabs>
          <w:tab w:val="right" w:leader="dot" w:pos="8306"/>
        </w:tabs>
      </w:pPr>
      <w:r>
        <w:rPr>
          <w:rFonts w:hAnsi="宋体"/>
          <w:b w:val="0"/>
          <w:sz w:val="36"/>
        </w:rPr>
        <w:fldChar w:fldCharType="begin"/>
      </w:r>
      <w:r>
        <w:rPr>
          <w:rFonts w:hAnsi="宋体"/>
          <w:b w:val="0"/>
          <w:sz w:val="36"/>
        </w:rPr>
        <w:instrText xml:space="preserve"> TOC \o "1-2" \h \z \u </w:instrText>
      </w:r>
      <w:r>
        <w:rPr>
          <w:rFonts w:hAnsi="宋体"/>
          <w:b w:val="0"/>
          <w:sz w:val="36"/>
        </w:rPr>
        <w:fldChar w:fldCharType="separate"/>
      </w:r>
      <w:r>
        <w:rPr>
          <w:rFonts w:hAnsi="宋体"/>
        </w:rPr>
        <w:fldChar w:fldCharType="begin"/>
      </w:r>
      <w:r>
        <w:rPr>
          <w:rFonts w:hAnsi="宋体"/>
        </w:rPr>
        <w:instrText xml:space="preserve"> HYPERLINK \l _Toc24238 </w:instrText>
      </w:r>
      <w:r>
        <w:rPr>
          <w:rFonts w:hAnsi="宋体"/>
        </w:rPr>
        <w:fldChar w:fldCharType="separate"/>
      </w:r>
      <w:r>
        <w:t>1概述</w:t>
      </w:r>
      <w:r>
        <w:tab/>
      </w:r>
      <w:r>
        <w:fldChar w:fldCharType="begin"/>
      </w:r>
      <w:r>
        <w:instrText xml:space="preserve"> PAGEREF _Toc24238 \h </w:instrText>
      </w:r>
      <w:r>
        <w:fldChar w:fldCharType="separate"/>
      </w:r>
      <w:r>
        <w:t>1</w:t>
      </w:r>
      <w:r>
        <w:fldChar w:fldCharType="end"/>
      </w:r>
      <w:r>
        <w:rPr>
          <w:rFonts w:hAnsi="宋体"/>
        </w:rPr>
        <w:fldChar w:fldCharType="end"/>
      </w:r>
    </w:p>
    <w:p w14:paraId="0A3BA56A">
      <w:pPr>
        <w:pStyle w:val="11"/>
        <w:tabs>
          <w:tab w:val="right" w:leader="dot" w:pos="8306"/>
        </w:tabs>
      </w:pPr>
      <w:r>
        <w:rPr>
          <w:rFonts w:hAnsi="宋体"/>
        </w:rPr>
        <w:fldChar w:fldCharType="begin"/>
      </w:r>
      <w:r>
        <w:rPr>
          <w:rFonts w:hAnsi="宋体"/>
        </w:rPr>
        <w:instrText xml:space="preserve"> HYPERLINK \l _Toc26733 </w:instrText>
      </w:r>
      <w:r>
        <w:rPr>
          <w:rFonts w:hAnsi="宋体"/>
        </w:rPr>
        <w:fldChar w:fldCharType="separate"/>
      </w:r>
      <w:r>
        <w:rPr>
          <w:lang w:val="en"/>
        </w:rPr>
        <w:t>2首次环境影响评价信息公开情况</w:t>
      </w:r>
      <w:r>
        <w:tab/>
      </w:r>
      <w:r>
        <w:fldChar w:fldCharType="begin"/>
      </w:r>
      <w:r>
        <w:instrText xml:space="preserve"> PAGEREF _Toc26733 \h </w:instrText>
      </w:r>
      <w:r>
        <w:fldChar w:fldCharType="separate"/>
      </w:r>
      <w:r>
        <w:t>3</w:t>
      </w:r>
      <w:r>
        <w:fldChar w:fldCharType="end"/>
      </w:r>
      <w:r>
        <w:rPr>
          <w:rFonts w:hAnsi="宋体"/>
        </w:rPr>
        <w:fldChar w:fldCharType="end"/>
      </w:r>
    </w:p>
    <w:p w14:paraId="5A9F4674">
      <w:pPr>
        <w:pStyle w:val="12"/>
        <w:tabs>
          <w:tab w:val="right" w:leader="dot" w:pos="8306"/>
        </w:tabs>
      </w:pPr>
      <w:r>
        <w:rPr>
          <w:rFonts w:hAnsi="宋体"/>
        </w:rPr>
        <w:fldChar w:fldCharType="begin"/>
      </w:r>
      <w:r>
        <w:rPr>
          <w:rFonts w:hAnsi="宋体"/>
        </w:rPr>
        <w:instrText xml:space="preserve"> HYPERLINK \l _Toc10972 </w:instrText>
      </w:r>
      <w:r>
        <w:rPr>
          <w:rFonts w:hAnsi="宋体"/>
        </w:rPr>
        <w:fldChar w:fldCharType="separate"/>
      </w:r>
      <w:r>
        <w:rPr>
          <w:rFonts w:ascii="Times New Roman" w:hAnsi="Times New Roman" w:cs="Times New Roman"/>
        </w:rPr>
        <w:t>2.1公开内容及日期</w:t>
      </w:r>
      <w:r>
        <w:tab/>
      </w:r>
      <w:r>
        <w:fldChar w:fldCharType="begin"/>
      </w:r>
      <w:r>
        <w:instrText xml:space="preserve"> PAGEREF _Toc10972 \h </w:instrText>
      </w:r>
      <w:r>
        <w:fldChar w:fldCharType="separate"/>
      </w:r>
      <w:r>
        <w:t>3</w:t>
      </w:r>
      <w:r>
        <w:fldChar w:fldCharType="end"/>
      </w:r>
      <w:r>
        <w:rPr>
          <w:rFonts w:hAnsi="宋体"/>
        </w:rPr>
        <w:fldChar w:fldCharType="end"/>
      </w:r>
    </w:p>
    <w:p w14:paraId="37BA95A2">
      <w:pPr>
        <w:pStyle w:val="12"/>
        <w:tabs>
          <w:tab w:val="right" w:leader="dot" w:pos="8306"/>
        </w:tabs>
      </w:pPr>
      <w:r>
        <w:rPr>
          <w:rFonts w:hAnsi="宋体"/>
        </w:rPr>
        <w:fldChar w:fldCharType="begin"/>
      </w:r>
      <w:r>
        <w:rPr>
          <w:rFonts w:hAnsi="宋体"/>
        </w:rPr>
        <w:instrText xml:space="preserve"> HYPERLINK \l _Toc25792 </w:instrText>
      </w:r>
      <w:r>
        <w:rPr>
          <w:rFonts w:hAnsi="宋体"/>
        </w:rPr>
        <w:fldChar w:fldCharType="separate"/>
      </w:r>
      <w:r>
        <w:rPr>
          <w:rFonts w:ascii="Times New Roman" w:hAnsi="Times New Roman" w:cs="Times New Roman"/>
        </w:rPr>
        <w:t>2.2公开方式</w:t>
      </w:r>
      <w:r>
        <w:tab/>
      </w:r>
      <w:r>
        <w:fldChar w:fldCharType="begin"/>
      </w:r>
      <w:r>
        <w:instrText xml:space="preserve"> PAGEREF _Toc25792 \h </w:instrText>
      </w:r>
      <w:r>
        <w:fldChar w:fldCharType="separate"/>
      </w:r>
      <w:r>
        <w:t>4</w:t>
      </w:r>
      <w:r>
        <w:fldChar w:fldCharType="end"/>
      </w:r>
      <w:r>
        <w:rPr>
          <w:rFonts w:hAnsi="宋体"/>
        </w:rPr>
        <w:fldChar w:fldCharType="end"/>
      </w:r>
    </w:p>
    <w:p w14:paraId="4D534668">
      <w:pPr>
        <w:pStyle w:val="12"/>
        <w:tabs>
          <w:tab w:val="right" w:leader="dot" w:pos="8306"/>
        </w:tabs>
      </w:pPr>
      <w:r>
        <w:rPr>
          <w:rFonts w:hAnsi="宋体"/>
        </w:rPr>
        <w:fldChar w:fldCharType="begin"/>
      </w:r>
      <w:r>
        <w:rPr>
          <w:rFonts w:hAnsi="宋体"/>
        </w:rPr>
        <w:instrText xml:space="preserve"> HYPERLINK \l _Toc4848 </w:instrText>
      </w:r>
      <w:r>
        <w:rPr>
          <w:rFonts w:hAnsi="宋体"/>
        </w:rPr>
        <w:fldChar w:fldCharType="separate"/>
      </w:r>
      <w:r>
        <w:rPr>
          <w:rFonts w:ascii="Times New Roman" w:hAnsi="Times New Roman" w:cs="Times New Roman"/>
        </w:rPr>
        <w:t>2.3公众意见情况</w:t>
      </w:r>
      <w:r>
        <w:tab/>
      </w:r>
      <w:r>
        <w:fldChar w:fldCharType="begin"/>
      </w:r>
      <w:r>
        <w:instrText xml:space="preserve"> PAGEREF _Toc4848 \h </w:instrText>
      </w:r>
      <w:r>
        <w:fldChar w:fldCharType="separate"/>
      </w:r>
      <w:r>
        <w:t>4</w:t>
      </w:r>
      <w:r>
        <w:fldChar w:fldCharType="end"/>
      </w:r>
      <w:r>
        <w:rPr>
          <w:rFonts w:hAnsi="宋体"/>
        </w:rPr>
        <w:fldChar w:fldCharType="end"/>
      </w:r>
    </w:p>
    <w:p w14:paraId="1D77397E">
      <w:pPr>
        <w:pStyle w:val="11"/>
        <w:tabs>
          <w:tab w:val="right" w:leader="dot" w:pos="8306"/>
        </w:tabs>
      </w:pPr>
      <w:r>
        <w:rPr>
          <w:rFonts w:hAnsi="宋体"/>
        </w:rPr>
        <w:fldChar w:fldCharType="begin"/>
      </w:r>
      <w:r>
        <w:rPr>
          <w:rFonts w:hAnsi="宋体"/>
        </w:rPr>
        <w:instrText xml:space="preserve"> HYPERLINK \l _Toc5753 </w:instrText>
      </w:r>
      <w:r>
        <w:rPr>
          <w:rFonts w:hAnsi="宋体"/>
        </w:rPr>
        <w:fldChar w:fldCharType="separate"/>
      </w:r>
      <w:r>
        <w:rPr>
          <w:lang w:val="en"/>
        </w:rPr>
        <w:t>3征求意见稿公示情况</w:t>
      </w:r>
      <w:r>
        <w:tab/>
      </w:r>
      <w:r>
        <w:fldChar w:fldCharType="begin"/>
      </w:r>
      <w:r>
        <w:instrText xml:space="preserve"> PAGEREF _Toc5753 \h </w:instrText>
      </w:r>
      <w:r>
        <w:fldChar w:fldCharType="separate"/>
      </w:r>
      <w:r>
        <w:t>6</w:t>
      </w:r>
      <w:r>
        <w:fldChar w:fldCharType="end"/>
      </w:r>
      <w:r>
        <w:rPr>
          <w:rFonts w:hAnsi="宋体"/>
        </w:rPr>
        <w:fldChar w:fldCharType="end"/>
      </w:r>
    </w:p>
    <w:p w14:paraId="7787FE76">
      <w:pPr>
        <w:pStyle w:val="12"/>
        <w:tabs>
          <w:tab w:val="right" w:leader="dot" w:pos="8306"/>
        </w:tabs>
      </w:pPr>
      <w:r>
        <w:rPr>
          <w:rFonts w:hAnsi="宋体"/>
        </w:rPr>
        <w:fldChar w:fldCharType="begin"/>
      </w:r>
      <w:r>
        <w:rPr>
          <w:rFonts w:hAnsi="宋体"/>
        </w:rPr>
        <w:instrText xml:space="preserve"> HYPERLINK \l _Toc15489 </w:instrText>
      </w:r>
      <w:r>
        <w:rPr>
          <w:rFonts w:hAnsi="宋体"/>
        </w:rPr>
        <w:fldChar w:fldCharType="separate"/>
      </w:r>
      <w:r>
        <w:rPr>
          <w:rFonts w:ascii="Times New Roman" w:hAnsi="Times New Roman" w:cs="Times New Roman"/>
        </w:rPr>
        <w:t>3.1公示内容及时限</w:t>
      </w:r>
      <w:r>
        <w:tab/>
      </w:r>
      <w:r>
        <w:fldChar w:fldCharType="begin"/>
      </w:r>
      <w:r>
        <w:instrText xml:space="preserve"> PAGEREF _Toc15489 \h </w:instrText>
      </w:r>
      <w:r>
        <w:fldChar w:fldCharType="separate"/>
      </w:r>
      <w:r>
        <w:t>6</w:t>
      </w:r>
      <w:r>
        <w:fldChar w:fldCharType="end"/>
      </w:r>
      <w:r>
        <w:rPr>
          <w:rFonts w:hAnsi="宋体"/>
        </w:rPr>
        <w:fldChar w:fldCharType="end"/>
      </w:r>
    </w:p>
    <w:p w14:paraId="312DB99A">
      <w:pPr>
        <w:pStyle w:val="12"/>
        <w:tabs>
          <w:tab w:val="right" w:leader="dot" w:pos="8306"/>
        </w:tabs>
      </w:pPr>
      <w:r>
        <w:rPr>
          <w:rFonts w:hAnsi="宋体"/>
        </w:rPr>
        <w:fldChar w:fldCharType="begin"/>
      </w:r>
      <w:r>
        <w:rPr>
          <w:rFonts w:hAnsi="宋体"/>
        </w:rPr>
        <w:instrText xml:space="preserve"> HYPERLINK \l _Toc26547 </w:instrText>
      </w:r>
      <w:r>
        <w:rPr>
          <w:rFonts w:hAnsi="宋体"/>
        </w:rPr>
        <w:fldChar w:fldCharType="separate"/>
      </w:r>
      <w:r>
        <w:rPr>
          <w:rFonts w:ascii="Times New Roman" w:hAnsi="Times New Roman" w:cs="Times New Roman"/>
        </w:rPr>
        <w:t>3.2公示方式</w:t>
      </w:r>
      <w:r>
        <w:tab/>
      </w:r>
      <w:r>
        <w:fldChar w:fldCharType="begin"/>
      </w:r>
      <w:r>
        <w:instrText xml:space="preserve"> PAGEREF _Toc26547 \h </w:instrText>
      </w:r>
      <w:r>
        <w:fldChar w:fldCharType="separate"/>
      </w:r>
      <w:r>
        <w:t>6</w:t>
      </w:r>
      <w:r>
        <w:fldChar w:fldCharType="end"/>
      </w:r>
      <w:r>
        <w:rPr>
          <w:rFonts w:hAnsi="宋体"/>
        </w:rPr>
        <w:fldChar w:fldCharType="end"/>
      </w:r>
    </w:p>
    <w:p w14:paraId="0B5E2400">
      <w:pPr>
        <w:pStyle w:val="12"/>
        <w:tabs>
          <w:tab w:val="right" w:leader="dot" w:pos="8306"/>
        </w:tabs>
      </w:pPr>
      <w:r>
        <w:rPr>
          <w:rFonts w:hAnsi="宋体"/>
        </w:rPr>
        <w:fldChar w:fldCharType="begin"/>
      </w:r>
      <w:r>
        <w:rPr>
          <w:rFonts w:hAnsi="宋体"/>
        </w:rPr>
        <w:instrText xml:space="preserve"> HYPERLINK \l _Toc16557 </w:instrText>
      </w:r>
      <w:r>
        <w:rPr>
          <w:rFonts w:hAnsi="宋体"/>
        </w:rPr>
        <w:fldChar w:fldCharType="separate"/>
      </w:r>
      <w:r>
        <w:rPr>
          <w:rFonts w:ascii="Times New Roman" w:hAnsi="Times New Roman" w:cs="Times New Roman"/>
        </w:rPr>
        <w:t>3.3查阅情况</w:t>
      </w:r>
      <w:r>
        <w:tab/>
      </w:r>
      <w:r>
        <w:fldChar w:fldCharType="begin"/>
      </w:r>
      <w:r>
        <w:instrText xml:space="preserve"> PAGEREF _Toc16557 \h </w:instrText>
      </w:r>
      <w:r>
        <w:fldChar w:fldCharType="separate"/>
      </w:r>
      <w:r>
        <w:t>12</w:t>
      </w:r>
      <w:r>
        <w:fldChar w:fldCharType="end"/>
      </w:r>
      <w:r>
        <w:rPr>
          <w:rFonts w:hAnsi="宋体"/>
        </w:rPr>
        <w:fldChar w:fldCharType="end"/>
      </w:r>
    </w:p>
    <w:p w14:paraId="2580C720">
      <w:pPr>
        <w:pStyle w:val="12"/>
        <w:tabs>
          <w:tab w:val="right" w:leader="dot" w:pos="8306"/>
        </w:tabs>
      </w:pPr>
      <w:r>
        <w:rPr>
          <w:rFonts w:hAnsi="宋体"/>
        </w:rPr>
        <w:fldChar w:fldCharType="begin"/>
      </w:r>
      <w:r>
        <w:rPr>
          <w:rFonts w:hAnsi="宋体"/>
        </w:rPr>
        <w:instrText xml:space="preserve"> HYPERLINK \l _Toc20152 </w:instrText>
      </w:r>
      <w:r>
        <w:rPr>
          <w:rFonts w:hAnsi="宋体"/>
        </w:rPr>
        <w:fldChar w:fldCharType="separate"/>
      </w:r>
      <w:r>
        <w:rPr>
          <w:rFonts w:ascii="Times New Roman" w:hAnsi="Times New Roman" w:cs="Times New Roman"/>
        </w:rPr>
        <w:t>3.4公众提出意见情况</w:t>
      </w:r>
      <w:r>
        <w:tab/>
      </w:r>
      <w:r>
        <w:fldChar w:fldCharType="begin"/>
      </w:r>
      <w:r>
        <w:instrText xml:space="preserve"> PAGEREF _Toc20152 \h </w:instrText>
      </w:r>
      <w:r>
        <w:fldChar w:fldCharType="separate"/>
      </w:r>
      <w:r>
        <w:t>13</w:t>
      </w:r>
      <w:r>
        <w:fldChar w:fldCharType="end"/>
      </w:r>
      <w:r>
        <w:rPr>
          <w:rFonts w:hAnsi="宋体"/>
        </w:rPr>
        <w:fldChar w:fldCharType="end"/>
      </w:r>
    </w:p>
    <w:p w14:paraId="1E00C6A9">
      <w:pPr>
        <w:pStyle w:val="11"/>
        <w:tabs>
          <w:tab w:val="right" w:leader="dot" w:pos="8306"/>
        </w:tabs>
      </w:pPr>
      <w:r>
        <w:rPr>
          <w:rFonts w:hAnsi="宋体"/>
        </w:rPr>
        <w:fldChar w:fldCharType="begin"/>
      </w:r>
      <w:r>
        <w:rPr>
          <w:rFonts w:hAnsi="宋体"/>
        </w:rPr>
        <w:instrText xml:space="preserve"> HYPERLINK \l _Toc8094 </w:instrText>
      </w:r>
      <w:r>
        <w:rPr>
          <w:rFonts w:hAnsi="宋体"/>
        </w:rPr>
        <w:fldChar w:fldCharType="separate"/>
      </w:r>
      <w:r>
        <w:rPr>
          <w:lang w:val="en"/>
        </w:rPr>
        <w:t>4其他公众参与情况</w:t>
      </w:r>
      <w:r>
        <w:tab/>
      </w:r>
      <w:r>
        <w:fldChar w:fldCharType="begin"/>
      </w:r>
      <w:r>
        <w:instrText xml:space="preserve"> PAGEREF _Toc8094 \h </w:instrText>
      </w:r>
      <w:r>
        <w:fldChar w:fldCharType="separate"/>
      </w:r>
      <w:r>
        <w:t>14</w:t>
      </w:r>
      <w:r>
        <w:fldChar w:fldCharType="end"/>
      </w:r>
      <w:r>
        <w:rPr>
          <w:rFonts w:hAnsi="宋体"/>
        </w:rPr>
        <w:fldChar w:fldCharType="end"/>
      </w:r>
    </w:p>
    <w:p w14:paraId="24FC6C41">
      <w:pPr>
        <w:pStyle w:val="11"/>
        <w:tabs>
          <w:tab w:val="right" w:leader="dot" w:pos="8306"/>
        </w:tabs>
      </w:pPr>
      <w:r>
        <w:rPr>
          <w:rFonts w:hAnsi="宋体"/>
        </w:rPr>
        <w:fldChar w:fldCharType="begin"/>
      </w:r>
      <w:r>
        <w:rPr>
          <w:rFonts w:hAnsi="宋体"/>
        </w:rPr>
        <w:instrText xml:space="preserve"> HYPERLINK \l _Toc10762 </w:instrText>
      </w:r>
      <w:r>
        <w:rPr>
          <w:rFonts w:hAnsi="宋体"/>
        </w:rPr>
        <w:fldChar w:fldCharType="separate"/>
      </w:r>
      <w:r>
        <w:rPr>
          <w:lang w:val="en"/>
        </w:rPr>
        <w:t>5公众意见处理情况</w:t>
      </w:r>
      <w:r>
        <w:tab/>
      </w:r>
      <w:r>
        <w:fldChar w:fldCharType="begin"/>
      </w:r>
      <w:r>
        <w:instrText xml:space="preserve"> PAGEREF _Toc10762 \h </w:instrText>
      </w:r>
      <w:r>
        <w:fldChar w:fldCharType="separate"/>
      </w:r>
      <w:r>
        <w:t>15</w:t>
      </w:r>
      <w:r>
        <w:fldChar w:fldCharType="end"/>
      </w:r>
      <w:r>
        <w:rPr>
          <w:rFonts w:hAnsi="宋体"/>
        </w:rPr>
        <w:fldChar w:fldCharType="end"/>
      </w:r>
    </w:p>
    <w:p w14:paraId="0E28C7EC">
      <w:pPr>
        <w:pStyle w:val="11"/>
        <w:tabs>
          <w:tab w:val="right" w:leader="dot" w:pos="8306"/>
        </w:tabs>
      </w:pPr>
      <w:r>
        <w:rPr>
          <w:rFonts w:hAnsi="宋体"/>
        </w:rPr>
        <w:fldChar w:fldCharType="begin"/>
      </w:r>
      <w:r>
        <w:rPr>
          <w:rFonts w:hAnsi="宋体"/>
        </w:rPr>
        <w:instrText xml:space="preserve"> HYPERLINK \l _Toc2266 </w:instrText>
      </w:r>
      <w:r>
        <w:rPr>
          <w:rFonts w:hAnsi="宋体"/>
        </w:rPr>
        <w:fldChar w:fldCharType="separate"/>
      </w:r>
      <w:r>
        <w:rPr>
          <w:rFonts w:hint="eastAsia"/>
          <w:lang w:val="en"/>
        </w:rPr>
        <w:t>6报批前公开情况</w:t>
      </w:r>
      <w:r>
        <w:tab/>
      </w:r>
      <w:r>
        <w:fldChar w:fldCharType="begin"/>
      </w:r>
      <w:r>
        <w:instrText xml:space="preserve"> PAGEREF _Toc2266 \h </w:instrText>
      </w:r>
      <w:r>
        <w:fldChar w:fldCharType="separate"/>
      </w:r>
      <w:r>
        <w:t>16</w:t>
      </w:r>
      <w:r>
        <w:fldChar w:fldCharType="end"/>
      </w:r>
      <w:r>
        <w:rPr>
          <w:rFonts w:hAnsi="宋体"/>
        </w:rPr>
        <w:fldChar w:fldCharType="end"/>
      </w:r>
    </w:p>
    <w:p w14:paraId="4F72E4C0">
      <w:pPr>
        <w:pStyle w:val="12"/>
        <w:tabs>
          <w:tab w:val="right" w:leader="dot" w:pos="8306"/>
        </w:tabs>
      </w:pPr>
      <w:r>
        <w:rPr>
          <w:rFonts w:hAnsi="宋体"/>
        </w:rPr>
        <w:fldChar w:fldCharType="begin"/>
      </w:r>
      <w:r>
        <w:rPr>
          <w:rFonts w:hAnsi="宋体"/>
        </w:rPr>
        <w:instrText xml:space="preserve"> HYPERLINK \l _Toc20959 </w:instrText>
      </w:r>
      <w:r>
        <w:rPr>
          <w:rFonts w:hAnsi="宋体"/>
        </w:rPr>
        <w:fldChar w:fldCharType="separate"/>
      </w:r>
      <w:r>
        <w:rPr>
          <w:rFonts w:hint="eastAsia"/>
        </w:rPr>
        <w:t>6.1公开内容及日期</w:t>
      </w:r>
      <w:r>
        <w:tab/>
      </w:r>
      <w:r>
        <w:fldChar w:fldCharType="begin"/>
      </w:r>
      <w:r>
        <w:instrText xml:space="preserve"> PAGEREF _Toc20959 \h </w:instrText>
      </w:r>
      <w:r>
        <w:fldChar w:fldCharType="separate"/>
      </w:r>
      <w:r>
        <w:t>16</w:t>
      </w:r>
      <w:r>
        <w:fldChar w:fldCharType="end"/>
      </w:r>
      <w:r>
        <w:rPr>
          <w:rFonts w:hAnsi="宋体"/>
        </w:rPr>
        <w:fldChar w:fldCharType="end"/>
      </w:r>
    </w:p>
    <w:p w14:paraId="61FB7CD6">
      <w:pPr>
        <w:pStyle w:val="12"/>
        <w:tabs>
          <w:tab w:val="right" w:leader="dot" w:pos="8306"/>
        </w:tabs>
      </w:pPr>
      <w:r>
        <w:rPr>
          <w:rFonts w:hAnsi="宋体"/>
        </w:rPr>
        <w:fldChar w:fldCharType="begin"/>
      </w:r>
      <w:r>
        <w:rPr>
          <w:rFonts w:hAnsi="宋体"/>
        </w:rPr>
        <w:instrText xml:space="preserve"> HYPERLINK \l _Toc26469 </w:instrText>
      </w:r>
      <w:r>
        <w:rPr>
          <w:rFonts w:hAnsi="宋体"/>
        </w:rPr>
        <w:fldChar w:fldCharType="separate"/>
      </w:r>
      <w:r>
        <w:rPr>
          <w:rFonts w:hint="eastAsia"/>
        </w:rPr>
        <w:t>6.2公开方式</w:t>
      </w:r>
      <w:r>
        <w:tab/>
      </w:r>
      <w:r>
        <w:fldChar w:fldCharType="begin"/>
      </w:r>
      <w:r>
        <w:instrText xml:space="preserve"> PAGEREF _Toc26469 \h </w:instrText>
      </w:r>
      <w:r>
        <w:fldChar w:fldCharType="separate"/>
      </w:r>
      <w:r>
        <w:t>16</w:t>
      </w:r>
      <w:r>
        <w:fldChar w:fldCharType="end"/>
      </w:r>
      <w:r>
        <w:rPr>
          <w:rFonts w:hAnsi="宋体"/>
        </w:rPr>
        <w:fldChar w:fldCharType="end"/>
      </w:r>
    </w:p>
    <w:p w14:paraId="0B40AC0A">
      <w:pPr>
        <w:pStyle w:val="11"/>
        <w:tabs>
          <w:tab w:val="right" w:leader="dot" w:pos="8306"/>
        </w:tabs>
      </w:pPr>
      <w:r>
        <w:rPr>
          <w:rFonts w:hAnsi="宋体"/>
        </w:rPr>
        <w:fldChar w:fldCharType="begin"/>
      </w:r>
      <w:r>
        <w:rPr>
          <w:rFonts w:hAnsi="宋体"/>
        </w:rPr>
        <w:instrText xml:space="preserve"> HYPERLINK \l _Toc12866 </w:instrText>
      </w:r>
      <w:r>
        <w:rPr>
          <w:rFonts w:hAnsi="宋体"/>
        </w:rPr>
        <w:fldChar w:fldCharType="separate"/>
      </w:r>
      <w:r>
        <w:rPr>
          <w:rFonts w:hint="eastAsia"/>
          <w:lang w:val="en"/>
        </w:rPr>
        <w:t>7存档备查情况</w:t>
      </w:r>
      <w:r>
        <w:tab/>
      </w:r>
      <w:r>
        <w:fldChar w:fldCharType="begin"/>
      </w:r>
      <w:r>
        <w:instrText xml:space="preserve"> PAGEREF _Toc12866 \h </w:instrText>
      </w:r>
      <w:r>
        <w:fldChar w:fldCharType="separate"/>
      </w:r>
      <w:r>
        <w:t>18</w:t>
      </w:r>
      <w:r>
        <w:fldChar w:fldCharType="end"/>
      </w:r>
      <w:r>
        <w:rPr>
          <w:rFonts w:hAnsi="宋体"/>
        </w:rPr>
        <w:fldChar w:fldCharType="end"/>
      </w:r>
    </w:p>
    <w:p w14:paraId="7D028D70">
      <w:pPr>
        <w:pStyle w:val="11"/>
        <w:tabs>
          <w:tab w:val="right" w:leader="dot" w:pos="8306"/>
        </w:tabs>
      </w:pPr>
      <w:r>
        <w:rPr>
          <w:rFonts w:hAnsi="宋体"/>
        </w:rPr>
        <w:fldChar w:fldCharType="begin"/>
      </w:r>
      <w:r>
        <w:rPr>
          <w:rFonts w:hAnsi="宋体"/>
        </w:rPr>
        <w:instrText xml:space="preserve"> HYPERLINK \l _Toc22476 </w:instrText>
      </w:r>
      <w:r>
        <w:rPr>
          <w:rFonts w:hAnsi="宋体"/>
        </w:rPr>
        <w:fldChar w:fldCharType="separate"/>
      </w:r>
      <w:r>
        <w:rPr>
          <w:rFonts w:hint="eastAsia"/>
          <w:lang w:val="en"/>
        </w:rPr>
        <w:t>8诚信承诺</w:t>
      </w:r>
      <w:r>
        <w:tab/>
      </w:r>
      <w:r>
        <w:fldChar w:fldCharType="begin"/>
      </w:r>
      <w:r>
        <w:instrText xml:space="preserve"> PAGEREF _Toc22476 \h </w:instrText>
      </w:r>
      <w:r>
        <w:fldChar w:fldCharType="separate"/>
      </w:r>
      <w:r>
        <w:t>19</w:t>
      </w:r>
      <w:r>
        <w:fldChar w:fldCharType="end"/>
      </w:r>
      <w:r>
        <w:rPr>
          <w:rFonts w:hAnsi="宋体"/>
        </w:rPr>
        <w:fldChar w:fldCharType="end"/>
      </w:r>
    </w:p>
    <w:p w14:paraId="405D4DBC">
      <w:pPr>
        <w:pStyle w:val="11"/>
        <w:tabs>
          <w:tab w:val="right" w:leader="dot" w:pos="8306"/>
        </w:tabs>
      </w:pPr>
      <w:r>
        <w:rPr>
          <w:rFonts w:hAnsi="宋体"/>
        </w:rPr>
        <w:fldChar w:fldCharType="begin"/>
      </w:r>
      <w:r>
        <w:rPr>
          <w:rFonts w:hAnsi="宋体"/>
        </w:rPr>
        <w:instrText xml:space="preserve"> HYPERLINK \l _Toc7033 </w:instrText>
      </w:r>
      <w:r>
        <w:rPr>
          <w:rFonts w:hAnsi="宋体"/>
        </w:rPr>
        <w:fldChar w:fldCharType="separate"/>
      </w:r>
      <w:r>
        <w:rPr>
          <w:rFonts w:hint="eastAsia"/>
          <w:highlight w:val="none"/>
        </w:rPr>
        <w:t>9附件</w:t>
      </w:r>
      <w:r>
        <w:tab/>
      </w:r>
      <w:r>
        <w:fldChar w:fldCharType="begin"/>
      </w:r>
      <w:r>
        <w:instrText xml:space="preserve"> PAGEREF _Toc7033 \h </w:instrText>
      </w:r>
      <w:r>
        <w:fldChar w:fldCharType="separate"/>
      </w:r>
      <w:r>
        <w:t>20</w:t>
      </w:r>
      <w:r>
        <w:fldChar w:fldCharType="end"/>
      </w:r>
      <w:r>
        <w:rPr>
          <w:rFonts w:hAnsi="宋体"/>
        </w:rPr>
        <w:fldChar w:fldCharType="end"/>
      </w:r>
    </w:p>
    <w:p w14:paraId="27FE2AA6">
      <w:pPr>
        <w:spacing w:line="360" w:lineRule="auto"/>
        <w:jc w:val="center"/>
        <w:rPr>
          <w:rFonts w:hint="eastAsia" w:hAnsi="宋体"/>
          <w:b/>
          <w:sz w:val="36"/>
        </w:rPr>
      </w:pPr>
      <w:r>
        <w:rPr>
          <w:rFonts w:hAnsi="宋体"/>
        </w:rPr>
        <w:fldChar w:fldCharType="end"/>
      </w:r>
    </w:p>
    <w:p w14:paraId="5CB6E417">
      <w:pPr>
        <w:pStyle w:val="2"/>
        <w:rPr>
          <w:rFonts w:hint="eastAsia" w:hAnsi="宋体"/>
          <w:b/>
          <w:sz w:val="36"/>
        </w:rPr>
      </w:pPr>
    </w:p>
    <w:p w14:paraId="6F5932A0">
      <w:pPr>
        <w:pStyle w:val="2"/>
        <w:rPr>
          <w:rFonts w:hint="eastAsia" w:hAnsi="宋体"/>
          <w:b/>
          <w:sz w:val="36"/>
        </w:rPr>
        <w:sectPr>
          <w:pgSz w:w="11906" w:h="16838"/>
          <w:pgMar w:top="1440" w:right="1800" w:bottom="1440" w:left="1800" w:header="851" w:footer="992" w:gutter="0"/>
          <w:cols w:space="425" w:num="1"/>
          <w:docGrid w:type="lines" w:linePitch="312" w:charSpace="0"/>
        </w:sectPr>
      </w:pPr>
      <w:bookmarkStart w:id="45" w:name="_GoBack"/>
      <w:bookmarkEnd w:id="45"/>
    </w:p>
    <w:p w14:paraId="4BF81005">
      <w:pPr>
        <w:pStyle w:val="3"/>
      </w:pPr>
      <w:bookmarkStart w:id="4" w:name="_Toc534362520"/>
      <w:bookmarkStart w:id="5" w:name="_Toc24238"/>
      <w:r>
        <w:t>1概述</w:t>
      </w:r>
      <w:bookmarkEnd w:id="4"/>
      <w:bookmarkEnd w:id="5"/>
    </w:p>
    <w:p w14:paraId="19DD08F5">
      <w:pPr>
        <w:pStyle w:val="20"/>
        <w:widowControl/>
        <w:ind w:firstLine="480"/>
        <w:rPr>
          <w:rFonts w:hint="eastAsia"/>
        </w:rPr>
      </w:pPr>
      <w:r>
        <w:rPr>
          <w:rFonts w:hint="eastAsia"/>
        </w:rPr>
        <w:t>国道丹阿公路黑龙江省境内段沿中俄边境走行，连接了黑龙江省16个边境县市，总里程约2600公里。国道丹阿公路在同江与绥滨之间中断，同江与松花江西岸地区间的交通往来需向南绕行，经建三江农场和富锦市，通过省道小佳河至亮子河公路富绥松花江公路大桥过江，到达绥滨县城行程约109公里。为提高国道丹阿公路的服务水平和通行能力，带动区域经济发展，亟需打通该区域松花江两岸间国道丹阿公路“断头路”，突破松花江的天然限制，建设国道丹阿公路同江松花江公路大桥及引道工程，项目建成后，同江市至绥滨县城里程将缩短为79km，可减少30公里的运输时间和燃油等运输成本。</w:t>
      </w:r>
    </w:p>
    <w:p w14:paraId="4FAD5C72">
      <w:pPr>
        <w:pStyle w:val="20"/>
        <w:widowControl/>
        <w:ind w:firstLine="480"/>
        <w:rPr>
          <w:rFonts w:hint="eastAsia"/>
        </w:rPr>
      </w:pPr>
      <w:r>
        <w:rPr>
          <w:rFonts w:hint="eastAsia"/>
        </w:rPr>
        <w:t>国道丹阿公路已列入《黑龙江省“十四五”综合交通运输体系发展规划》、《黑龙江省“十四五”公路水路交通运输发展规划》、《国家公路网规划（2022年-2035年）》（发改基础〔2022〕1033号）。本项目为国道丹阿公路同江松花江公路大桥及引道工程，是国道丹阿公路连接同江、绥滨两结点的重要组成路段。</w:t>
      </w:r>
    </w:p>
    <w:p w14:paraId="43069AF8">
      <w:pPr>
        <w:pStyle w:val="20"/>
        <w:widowControl/>
        <w:ind w:firstLine="480"/>
      </w:pPr>
      <w:r>
        <w:rPr>
          <w:rFonts w:hint="eastAsia"/>
        </w:rPr>
        <w:t>目前该项目已取得工程可行性研究报告的批复（黑发改交通〔2025〕203号），以及自然资源部关于本工程的建设用地预审意见。</w:t>
      </w:r>
    </w:p>
    <w:p w14:paraId="309CFE75">
      <w:pPr>
        <w:pStyle w:val="20"/>
        <w:widowControl/>
        <w:ind w:firstLine="480"/>
      </w:pPr>
      <w:r>
        <w:t>为保障公众环境保护知情权、参与权、表达权和监督权，我单位已按照</w:t>
      </w:r>
      <w:r>
        <w:rPr>
          <w:rFonts w:hint="eastAsia"/>
        </w:rPr>
        <w:t>《环境影响评价公众参与办法》（生态环境部令第4号）</w:t>
      </w:r>
      <w:r>
        <w:t>要求，</w:t>
      </w:r>
      <w:r>
        <w:rPr>
          <w:rFonts w:hint="eastAsia"/>
        </w:rPr>
        <w:t>在国道丹阿公路同江松花江公路大桥及引道工程项目</w:t>
      </w:r>
      <w:r>
        <w:t>环境影响报告书编制阶段开展了公众参与工作</w:t>
      </w:r>
      <w:r>
        <w:rPr>
          <w:rFonts w:hint="eastAsia"/>
        </w:rPr>
        <w:t>。</w:t>
      </w:r>
    </w:p>
    <w:p w14:paraId="11DAAA4B">
      <w:pPr>
        <w:pStyle w:val="20"/>
        <w:ind w:firstLine="480"/>
      </w:pPr>
      <w:r>
        <w:t>202</w:t>
      </w:r>
      <w:r>
        <w:rPr>
          <w:rFonts w:hint="eastAsia"/>
        </w:rPr>
        <w:t>3年2月10日黑龙江农垦勘测设计研究院有限公司</w:t>
      </w:r>
      <w:r>
        <w:rPr>
          <w:rFonts w:hint="eastAsia"/>
          <w:lang w:val="en-US" w:eastAsia="zh-CN"/>
        </w:rPr>
        <w:t>中标我单位</w:t>
      </w:r>
      <w:r>
        <w:rPr>
          <w:rFonts w:hint="eastAsia"/>
        </w:rPr>
        <w:t>国道丹阿公路同江松花江公路大桥及引道工程项目</w:t>
      </w:r>
      <w:r>
        <w:rPr>
          <w:rFonts w:hint="eastAsia"/>
          <w:lang w:val="en-US" w:eastAsia="zh-CN"/>
        </w:rPr>
        <w:t>环境影响评价报告编制工作，之后我单位与其签订了技术服务合同</w:t>
      </w:r>
      <w:r>
        <w:rPr>
          <w:rFonts w:hint="eastAsia"/>
          <w:lang w:eastAsia="zh-CN"/>
        </w:rPr>
        <w:t>。</w:t>
      </w:r>
      <w:r>
        <w:rPr>
          <w:rFonts w:hint="eastAsia"/>
        </w:rPr>
        <w:t>我单位</w:t>
      </w:r>
      <w:r>
        <w:t>于202</w:t>
      </w:r>
      <w:r>
        <w:rPr>
          <w:rFonts w:hint="eastAsia"/>
        </w:rPr>
        <w:t>3</w:t>
      </w:r>
      <w:r>
        <w:t>年</w:t>
      </w:r>
      <w:r>
        <w:rPr>
          <w:rFonts w:hint="eastAsia"/>
        </w:rPr>
        <w:t>2</w:t>
      </w:r>
      <w:r>
        <w:t>月</w:t>
      </w:r>
      <w:r>
        <w:rPr>
          <w:rFonts w:hint="eastAsia"/>
        </w:rPr>
        <w:t>24</w:t>
      </w:r>
      <w:r>
        <w:t>日在</w:t>
      </w:r>
      <w:r>
        <w:rPr>
          <w:rFonts w:hint="eastAsia"/>
          <w:color w:val="333333"/>
          <w:kern w:val="0"/>
          <w:szCs w:val="24"/>
        </w:rPr>
        <w:t>黑龙江省交通运输厅</w:t>
      </w:r>
      <w:r>
        <w:rPr>
          <w:rFonts w:hint="eastAsia"/>
          <w:color w:val="333333"/>
          <w:kern w:val="0"/>
          <w:szCs w:val="24"/>
          <w:lang w:val="en-US" w:eastAsia="zh-CN"/>
        </w:rPr>
        <w:t>网站</w:t>
      </w:r>
      <w:r>
        <w:t>发布</w:t>
      </w:r>
      <w:r>
        <w:rPr>
          <w:smallCaps/>
          <w:shd w:val="clear" w:color="auto" w:fill="FFFFFF"/>
        </w:rPr>
        <w:t>了</w:t>
      </w:r>
      <w:r>
        <w:t>《</w:t>
      </w:r>
      <w:r>
        <w:rPr>
          <w:rFonts w:hint="eastAsia"/>
        </w:rPr>
        <w:t>国道丹阿公路同江松花江公路大桥及引道工程项目</w:t>
      </w:r>
      <w:r>
        <w:t>环境影响</w:t>
      </w:r>
      <w:r>
        <w:rPr>
          <w:rFonts w:hint="eastAsia"/>
        </w:rPr>
        <w:t>评价第一次公示</w:t>
      </w:r>
      <w:r>
        <w:t>》</w:t>
      </w:r>
      <w:r>
        <w:rPr>
          <w:rFonts w:hint="eastAsia"/>
          <w:lang w:val="en-US" w:eastAsia="zh-CN"/>
        </w:rPr>
        <w:t>；</w:t>
      </w:r>
      <w:r>
        <w:t>于202</w:t>
      </w:r>
      <w:r>
        <w:rPr>
          <w:rFonts w:hint="eastAsia"/>
        </w:rPr>
        <w:t>5年4月27日</w:t>
      </w:r>
      <w:r>
        <w:t>在</w:t>
      </w:r>
      <w:r>
        <w:rPr>
          <w:rFonts w:hint="eastAsia"/>
          <w:color w:val="333333"/>
          <w:kern w:val="0"/>
          <w:szCs w:val="24"/>
        </w:rPr>
        <w:t>黑龙江省交通运输厅</w:t>
      </w:r>
      <w:r>
        <w:rPr>
          <w:rFonts w:hint="eastAsia"/>
          <w:color w:val="333333"/>
          <w:kern w:val="0"/>
          <w:szCs w:val="24"/>
          <w:lang w:val="en-US" w:eastAsia="zh-CN"/>
        </w:rPr>
        <w:t>网站</w:t>
      </w:r>
      <w:r>
        <w:t>发布</w:t>
      </w:r>
      <w:r>
        <w:rPr>
          <w:smallCaps/>
          <w:shd w:val="clear" w:color="auto" w:fill="FFFFFF"/>
        </w:rPr>
        <w:t>了</w:t>
      </w:r>
      <w:r>
        <w:t>《</w:t>
      </w:r>
      <w:r>
        <w:rPr>
          <w:rFonts w:hint="eastAsia"/>
        </w:rPr>
        <w:t>国道丹阿公路同江松花江公路大桥及引道工程项目</w:t>
      </w:r>
      <w:r>
        <w:t>环境影响报告书</w:t>
      </w:r>
      <w:r>
        <w:rPr>
          <w:rFonts w:hint="eastAsia"/>
        </w:rPr>
        <w:t>征求意见稿公示</w:t>
      </w:r>
      <w:r>
        <w:t>》</w:t>
      </w:r>
      <w:r>
        <w:rPr>
          <w:rFonts w:hint="eastAsia"/>
        </w:rPr>
        <w:t>；</w:t>
      </w:r>
      <w:r>
        <w:t>于202</w:t>
      </w:r>
      <w:r>
        <w:rPr>
          <w:rFonts w:hint="eastAsia"/>
        </w:rPr>
        <w:t>5年4月29日在</w:t>
      </w:r>
      <w:r>
        <w:rPr>
          <w:rFonts w:hint="eastAsia" w:hAnsi="Calibri"/>
          <w:color w:val="333333"/>
          <w:kern w:val="0"/>
        </w:rPr>
        <w:t>同江市农村公路养护中心和绥滨县交通运输局</w:t>
      </w:r>
      <w:r>
        <w:rPr>
          <w:rFonts w:hint="eastAsia"/>
        </w:rPr>
        <w:t>布告栏张贴</w:t>
      </w:r>
      <w:r>
        <w:t>了《</w:t>
      </w:r>
      <w:r>
        <w:rPr>
          <w:rFonts w:hint="eastAsia"/>
        </w:rPr>
        <w:t>国道丹阿公路同江松花江公路大桥及引道工程项目</w:t>
      </w:r>
      <w:r>
        <w:t>环境影响报告书征求意见稿公告》</w:t>
      </w:r>
      <w:r>
        <w:rPr>
          <w:rFonts w:hint="eastAsia"/>
        </w:rPr>
        <w:t>；</w:t>
      </w:r>
      <w:r>
        <w:t>于202</w:t>
      </w:r>
      <w:r>
        <w:rPr>
          <w:rFonts w:hint="eastAsia"/>
        </w:rPr>
        <w:t>5年4月29日</w:t>
      </w:r>
      <w:r>
        <w:t>、202</w:t>
      </w:r>
      <w:r>
        <w:rPr>
          <w:rFonts w:hint="eastAsia"/>
        </w:rPr>
        <w:t>5年4月30日</w:t>
      </w:r>
      <w:r>
        <w:t>在</w:t>
      </w:r>
      <w:r>
        <w:rPr>
          <w:rFonts w:hint="eastAsia"/>
        </w:rPr>
        <w:t>黑龙江日报</w:t>
      </w:r>
      <w:r>
        <w:t>上</w:t>
      </w:r>
      <w:r>
        <w:rPr>
          <w:rFonts w:hint="eastAsia"/>
          <w:lang w:val="en-US" w:eastAsia="zh-CN"/>
        </w:rPr>
        <w:t>发布</w:t>
      </w:r>
      <w:r>
        <w:rPr>
          <w:rFonts w:hint="eastAsia"/>
        </w:rPr>
        <w:t>了</w:t>
      </w:r>
      <w:r>
        <w:t>《</w:t>
      </w:r>
      <w:r>
        <w:rPr>
          <w:rFonts w:hint="eastAsia"/>
        </w:rPr>
        <w:t>国道丹阿公路同江松花江公路大桥及引道工程项目</w:t>
      </w:r>
      <w:r>
        <w:t>环境影响报告书征求意见稿公示》。</w:t>
      </w:r>
    </w:p>
    <w:p w14:paraId="4D9A7320">
      <w:pPr>
        <w:pStyle w:val="20"/>
        <w:ind w:firstLine="480"/>
        <w:sectPr>
          <w:footerReference r:id="rId3" w:type="default"/>
          <w:pgSz w:w="11906" w:h="16838"/>
          <w:pgMar w:top="1440" w:right="1800" w:bottom="1440" w:left="1800" w:header="851" w:footer="992" w:gutter="0"/>
          <w:pgNumType w:start="1"/>
          <w:cols w:space="425" w:num="1"/>
          <w:docGrid w:type="lines" w:linePitch="312" w:charSpace="0"/>
        </w:sectPr>
      </w:pPr>
    </w:p>
    <w:p w14:paraId="393F6A97">
      <w:pPr>
        <w:pStyle w:val="3"/>
        <w:rPr>
          <w:lang w:val="en"/>
        </w:rPr>
      </w:pPr>
      <w:bookmarkStart w:id="6" w:name="_Toc534362521"/>
      <w:bookmarkStart w:id="7" w:name="_Toc26733"/>
      <w:r>
        <w:rPr>
          <w:lang w:val="en"/>
        </w:rPr>
        <w:t>2首次环境影响评价信息公开情况</w:t>
      </w:r>
      <w:bookmarkEnd w:id="6"/>
      <w:bookmarkEnd w:id="7"/>
    </w:p>
    <w:p w14:paraId="50E90622">
      <w:pPr>
        <w:pStyle w:val="4"/>
        <w:rPr>
          <w:rFonts w:ascii="Times New Roman" w:hAnsi="Times New Roman" w:cs="Times New Roman"/>
        </w:rPr>
      </w:pPr>
      <w:bookmarkStart w:id="8" w:name="_Toc534362522"/>
      <w:bookmarkStart w:id="9" w:name="_Toc10972"/>
      <w:r>
        <w:rPr>
          <w:rFonts w:ascii="Times New Roman" w:hAnsi="Times New Roman" w:cs="Times New Roman"/>
        </w:rPr>
        <w:t>2.1公开内容及日期</w:t>
      </w:r>
      <w:bookmarkEnd w:id="8"/>
      <w:bookmarkEnd w:id="9"/>
    </w:p>
    <w:p w14:paraId="169D3A0B">
      <w:pPr>
        <w:pStyle w:val="20"/>
        <w:ind w:firstLine="480"/>
      </w:pPr>
      <w:r>
        <w:t>我单位于202</w:t>
      </w:r>
      <w:r>
        <w:rPr>
          <w:rFonts w:hint="eastAsia"/>
        </w:rPr>
        <w:t>3</w:t>
      </w:r>
      <w:r>
        <w:t>年</w:t>
      </w:r>
      <w:r>
        <w:rPr>
          <w:rFonts w:hint="eastAsia"/>
        </w:rPr>
        <w:t>2</w:t>
      </w:r>
      <w:r>
        <w:t>月</w:t>
      </w:r>
      <w:r>
        <w:rPr>
          <w:rFonts w:hint="eastAsia"/>
        </w:rPr>
        <w:t>24</w:t>
      </w:r>
      <w:r>
        <w:t>日进行了首次环境影响评价信息公示，按《环境影响评价公众参与办法》中第九条的规定内容进行了首次公示。首次环境影响评价信息</w:t>
      </w:r>
      <w:r>
        <w:rPr>
          <w:rFonts w:hint="eastAsia"/>
        </w:rPr>
        <w:t>公示内容</w:t>
      </w:r>
      <w:r>
        <w:t>如下：</w:t>
      </w:r>
    </w:p>
    <w:p w14:paraId="28C87CDB">
      <w:pPr>
        <w:pStyle w:val="20"/>
        <w:ind w:firstLine="480"/>
      </w:pPr>
      <w:r>
        <w:rPr>
          <w:rFonts w:hint="eastAsia"/>
        </w:rPr>
        <w:t>一、建设项目名称及概要</w:t>
      </w:r>
    </w:p>
    <w:p w14:paraId="2E6AB4A0">
      <w:pPr>
        <w:pStyle w:val="20"/>
        <w:ind w:firstLine="480"/>
      </w:pPr>
      <w:r>
        <w:rPr>
          <w:rFonts w:hint="eastAsia"/>
        </w:rPr>
        <w:t>项目名称：</w:t>
      </w:r>
      <w:bookmarkStart w:id="10" w:name="_Hlk198644161"/>
      <w:r>
        <w:rPr>
          <w:rFonts w:hint="eastAsia"/>
        </w:rPr>
        <w:t>国道丹阿公路同江松花江公路大桥及引道工程项目</w:t>
      </w:r>
      <w:bookmarkEnd w:id="10"/>
    </w:p>
    <w:p w14:paraId="4EA03A83">
      <w:pPr>
        <w:pStyle w:val="20"/>
        <w:ind w:firstLine="480"/>
      </w:pPr>
      <w:r>
        <w:rPr>
          <w:rFonts w:hint="eastAsia"/>
        </w:rPr>
        <w:t>建设地点：佳</w:t>
      </w:r>
      <w:r>
        <w:t>木斯市同江市、鹤岗市绥滨县</w:t>
      </w:r>
    </w:p>
    <w:p w14:paraId="73F18C01">
      <w:pPr>
        <w:pStyle w:val="20"/>
        <w:ind w:firstLine="480"/>
      </w:pPr>
      <w:r>
        <w:rPr>
          <w:rFonts w:hint="eastAsia"/>
        </w:rPr>
        <w:t>建设规模：项目全长</w:t>
      </w:r>
      <w:r>
        <w:t>1</w:t>
      </w:r>
      <w:r>
        <w:rPr>
          <w:rFonts w:hint="eastAsia"/>
        </w:rPr>
        <w:t>3</w:t>
      </w:r>
      <w:r>
        <w:t>.</w:t>
      </w:r>
      <w:r>
        <w:rPr>
          <w:rFonts w:hint="eastAsia"/>
          <w:lang w:val="en-US" w:eastAsia="zh-CN"/>
        </w:rPr>
        <w:t>72</w:t>
      </w:r>
      <w:r>
        <w:rPr>
          <w:rFonts w:hint="eastAsia"/>
        </w:rPr>
        <w:t>km，二级公路，路基宽度1</w:t>
      </w:r>
      <w:r>
        <w:t>2</w:t>
      </w:r>
      <w:r>
        <w:rPr>
          <w:rFonts w:hint="eastAsia"/>
        </w:rPr>
        <w:t>m，路面宽度1</w:t>
      </w:r>
      <w:r>
        <w:t>0.5</w:t>
      </w:r>
      <w:r>
        <w:rPr>
          <w:rFonts w:hint="eastAsia"/>
        </w:rPr>
        <w:t>m，建设特大桥</w:t>
      </w:r>
      <w:r>
        <w:rPr>
          <w:rFonts w:hint="eastAsia"/>
          <w:bCs/>
        </w:rPr>
        <w:t>5868</w:t>
      </w:r>
      <w:r>
        <w:rPr>
          <w:rFonts w:hint="eastAsia"/>
        </w:rPr>
        <w:t>m/</w:t>
      </w:r>
      <w:r>
        <w:t>1</w:t>
      </w:r>
      <w:r>
        <w:rPr>
          <w:rFonts w:hint="eastAsia"/>
        </w:rPr>
        <w:t>座，中桥</w:t>
      </w:r>
      <w:r>
        <w:rPr>
          <w:rFonts w:hint="eastAsia"/>
          <w:bCs/>
        </w:rPr>
        <w:t>53</w:t>
      </w:r>
      <w:r>
        <w:rPr>
          <w:rFonts w:hint="eastAsia"/>
        </w:rPr>
        <w:t>m/</w:t>
      </w:r>
      <w:r>
        <w:t>1</w:t>
      </w:r>
      <w:r>
        <w:rPr>
          <w:rFonts w:hint="eastAsia"/>
        </w:rPr>
        <w:t>座，互通式立体交叉（部分建设、部分远期预留）1处，涵洞16道；平面交叉8处</w:t>
      </w:r>
      <w:r>
        <w:rPr>
          <w:bCs/>
        </w:rPr>
        <w:t>。</w:t>
      </w:r>
    </w:p>
    <w:p w14:paraId="1494E918">
      <w:pPr>
        <w:pStyle w:val="20"/>
        <w:ind w:firstLine="480"/>
      </w:pPr>
      <w:r>
        <w:rPr>
          <w:rFonts w:hint="eastAsia"/>
        </w:rPr>
        <w:t>建设性质：新建</w:t>
      </w:r>
    </w:p>
    <w:p w14:paraId="2FBEF265">
      <w:pPr>
        <w:pStyle w:val="20"/>
        <w:ind w:firstLine="480"/>
      </w:pPr>
      <w:r>
        <w:rPr>
          <w:rFonts w:hint="eastAsia"/>
        </w:rPr>
        <w:t>二、建设单位</w:t>
      </w:r>
    </w:p>
    <w:p w14:paraId="4B65DAC4">
      <w:pPr>
        <w:pStyle w:val="20"/>
        <w:spacing w:line="360" w:lineRule="auto"/>
        <w:ind w:firstLine="480"/>
        <w:rPr>
          <w:szCs w:val="24"/>
        </w:rPr>
      </w:pPr>
      <w:r>
        <w:rPr>
          <w:rFonts w:hint="eastAsia"/>
          <w:szCs w:val="24"/>
        </w:rPr>
        <w:t>建设单位：</w:t>
      </w:r>
      <w:bookmarkStart w:id="11" w:name="_Hlk198644187"/>
      <w:r>
        <w:rPr>
          <w:rFonts w:hint="eastAsia"/>
          <w:szCs w:val="24"/>
        </w:rPr>
        <w:t>黑龙江省公路建设中心</w:t>
      </w:r>
      <w:bookmarkEnd w:id="11"/>
    </w:p>
    <w:p w14:paraId="5F41673F">
      <w:pPr>
        <w:spacing w:line="360" w:lineRule="auto"/>
        <w:ind w:firstLine="480"/>
        <w:rPr>
          <w:sz w:val="24"/>
        </w:rPr>
      </w:pPr>
      <w:r>
        <w:rPr>
          <w:rFonts w:hint="eastAsia"/>
          <w:sz w:val="24"/>
        </w:rPr>
        <w:t>联系人：关鹏</w:t>
      </w:r>
    </w:p>
    <w:p w14:paraId="317E5A2D">
      <w:pPr>
        <w:pStyle w:val="20"/>
        <w:spacing w:line="360" w:lineRule="auto"/>
        <w:ind w:firstLine="480"/>
        <w:rPr>
          <w:szCs w:val="24"/>
        </w:rPr>
      </w:pPr>
      <w:r>
        <w:rPr>
          <w:rFonts w:hint="eastAsia"/>
          <w:szCs w:val="24"/>
        </w:rPr>
        <w:t>联系方式：</w:t>
      </w:r>
      <w:r>
        <w:rPr>
          <w:szCs w:val="24"/>
        </w:rPr>
        <w:t>15776942403</w:t>
      </w:r>
    </w:p>
    <w:p w14:paraId="478FCC6C">
      <w:pPr>
        <w:pStyle w:val="20"/>
        <w:spacing w:line="360" w:lineRule="auto"/>
        <w:ind w:firstLine="480"/>
      </w:pPr>
      <w:r>
        <w:rPr>
          <w:rFonts w:hint="eastAsia"/>
        </w:rPr>
        <w:t>通讯地址：哈尔滨市南岗区中山路113号</w:t>
      </w:r>
    </w:p>
    <w:p w14:paraId="72A226CB">
      <w:pPr>
        <w:pStyle w:val="20"/>
        <w:ind w:firstLine="480"/>
        <w:rPr>
          <w:rFonts w:hint="eastAsia"/>
        </w:rPr>
      </w:pPr>
      <w:r>
        <w:rPr>
          <w:rFonts w:hint="eastAsia"/>
        </w:rPr>
        <w:t>邮政编码：150080</w:t>
      </w:r>
    </w:p>
    <w:p w14:paraId="51B73899">
      <w:pPr>
        <w:pStyle w:val="20"/>
        <w:ind w:firstLine="480"/>
      </w:pPr>
      <w:r>
        <w:rPr>
          <w:rFonts w:hint="eastAsia"/>
        </w:rPr>
        <w:t>三、承担评价工作的环境影响评价机构</w:t>
      </w:r>
    </w:p>
    <w:p w14:paraId="7D033359">
      <w:pPr>
        <w:pStyle w:val="20"/>
        <w:ind w:firstLine="480"/>
      </w:pPr>
      <w:r>
        <w:rPr>
          <w:rFonts w:hint="eastAsia"/>
        </w:rPr>
        <w:t>单位名称：黑龙江农垦勘测设计研究院有限公司</w:t>
      </w:r>
    </w:p>
    <w:p w14:paraId="7ED5E181">
      <w:pPr>
        <w:pStyle w:val="20"/>
        <w:ind w:firstLine="480"/>
      </w:pPr>
      <w:r>
        <w:rPr>
          <w:rFonts w:hint="eastAsia"/>
        </w:rPr>
        <w:t>联系人：岳鹏</w:t>
      </w:r>
    </w:p>
    <w:p w14:paraId="6E38FB96">
      <w:pPr>
        <w:pStyle w:val="20"/>
        <w:ind w:firstLine="480"/>
      </w:pPr>
      <w:r>
        <w:rPr>
          <w:rFonts w:hint="eastAsia"/>
        </w:rPr>
        <w:t>联系电话：</w:t>
      </w:r>
      <w:r>
        <w:t>15146606555</w:t>
      </w:r>
    </w:p>
    <w:p w14:paraId="1B188EB9">
      <w:pPr>
        <w:pStyle w:val="20"/>
        <w:ind w:firstLine="480"/>
      </w:pPr>
      <w:r>
        <w:rPr>
          <w:rFonts w:hint="eastAsia"/>
        </w:rPr>
        <w:t>通讯地址：黑龙江省哈尔滨市赣水路270号</w:t>
      </w:r>
    </w:p>
    <w:p w14:paraId="182811F9">
      <w:pPr>
        <w:pStyle w:val="20"/>
        <w:ind w:firstLine="480"/>
      </w:pPr>
      <w:r>
        <w:rPr>
          <w:rFonts w:hint="eastAsia"/>
        </w:rPr>
        <w:t>邮政编码：150000</w:t>
      </w:r>
    </w:p>
    <w:p w14:paraId="54462ADD">
      <w:pPr>
        <w:pStyle w:val="20"/>
        <w:ind w:firstLine="480"/>
      </w:pPr>
      <w:r>
        <w:rPr>
          <w:rFonts w:hint="eastAsia"/>
        </w:rPr>
        <w:t>email：nksjyzhb@163.com</w:t>
      </w:r>
    </w:p>
    <w:p w14:paraId="22E73CF9">
      <w:pPr>
        <w:pStyle w:val="20"/>
        <w:ind w:firstLine="480"/>
      </w:pPr>
      <w:r>
        <w:rPr>
          <w:rFonts w:hint="eastAsia"/>
        </w:rPr>
        <w:t>四、公众意见表的网络链接</w:t>
      </w:r>
    </w:p>
    <w:p w14:paraId="1C1AEA63">
      <w:pPr>
        <w:pStyle w:val="20"/>
        <w:ind w:firstLine="480"/>
      </w:pPr>
      <w:r>
        <w:rPr>
          <w:rFonts w:hint="eastAsia"/>
        </w:rPr>
        <w:t>建设项目环境影响评价公众意见表见网络链接：</w:t>
      </w:r>
      <w:r>
        <w:t>(hmp:/wwmee.gov.cnkxgk2018kxxgkxxgk01201810120181024665329.hml)</w:t>
      </w:r>
      <w:r>
        <w:rPr>
          <w:rFonts w:hint="eastAsia"/>
        </w:rPr>
        <w:t>，公众需按照规定格式要求填写（注：公众在提交意见时，应当提供有效的联系方式，采用实名方式提交意见并提供常住地址）。</w:t>
      </w:r>
    </w:p>
    <w:p w14:paraId="4F9E87D8">
      <w:pPr>
        <w:pStyle w:val="20"/>
        <w:ind w:firstLine="480"/>
      </w:pPr>
      <w:r>
        <w:rPr>
          <w:rFonts w:hint="eastAsia"/>
        </w:rPr>
        <w:t>五、公众提交公众意见表的方式和途径</w:t>
      </w:r>
    </w:p>
    <w:p w14:paraId="0FCE45EF">
      <w:pPr>
        <w:pStyle w:val="20"/>
        <w:ind w:firstLine="480"/>
      </w:pPr>
      <w:r>
        <w:rPr>
          <w:rFonts w:hint="eastAsia"/>
        </w:rPr>
        <w:t>在环境影响报告书征求意见稿编制过程中，公众可以通过电话、电子邮件、信函等方式向建设单位提出与环境影响评价相关的意见。</w:t>
      </w:r>
    </w:p>
    <w:p w14:paraId="775D9AD7">
      <w:pPr>
        <w:pStyle w:val="4"/>
        <w:rPr>
          <w:rFonts w:ascii="Times New Roman" w:hAnsi="Times New Roman" w:cs="Times New Roman"/>
        </w:rPr>
      </w:pPr>
      <w:bookmarkStart w:id="12" w:name="_Toc534362523"/>
      <w:bookmarkStart w:id="13" w:name="_Toc25792"/>
      <w:r>
        <w:rPr>
          <w:rFonts w:ascii="Times New Roman" w:hAnsi="Times New Roman" w:cs="Times New Roman"/>
        </w:rPr>
        <w:t>2.2公开方式</w:t>
      </w:r>
      <w:bookmarkEnd w:id="12"/>
      <w:bookmarkEnd w:id="13"/>
    </w:p>
    <w:p w14:paraId="5D0A3313">
      <w:pPr>
        <w:pStyle w:val="20"/>
        <w:ind w:firstLine="480"/>
        <w:jc w:val="left"/>
      </w:pPr>
      <w:r>
        <w:t>我单位首次环境影响评价信息公开采用网络平台进行公示，202</w:t>
      </w:r>
      <w:r>
        <w:rPr>
          <w:rFonts w:hint="eastAsia"/>
        </w:rPr>
        <w:t>3</w:t>
      </w:r>
      <w:r>
        <w:t>年</w:t>
      </w:r>
      <w:r>
        <w:rPr>
          <w:rFonts w:hint="eastAsia"/>
        </w:rPr>
        <w:t>2</w:t>
      </w:r>
      <w:r>
        <w:t>月</w:t>
      </w:r>
      <w:r>
        <w:rPr>
          <w:rFonts w:hint="eastAsia"/>
        </w:rPr>
        <w:t>24</w:t>
      </w:r>
      <w:r>
        <w:t>日在</w:t>
      </w:r>
      <w:r>
        <w:rPr>
          <w:rFonts w:hint="eastAsia"/>
          <w:color w:val="333333"/>
          <w:kern w:val="0"/>
          <w:szCs w:val="24"/>
        </w:rPr>
        <w:t>黑龙江省交通运输厅</w:t>
      </w:r>
      <w:r>
        <w:rPr>
          <w:rFonts w:hint="eastAsia"/>
          <w:color w:val="333333"/>
          <w:kern w:val="0"/>
          <w:szCs w:val="24"/>
          <w:lang w:val="en-US" w:eastAsia="zh-CN"/>
        </w:rPr>
        <w:t>网站</w:t>
      </w:r>
      <w:r>
        <w:t>发布</w:t>
      </w:r>
      <w:r>
        <w:rPr>
          <w:smallCaps/>
          <w:shd w:val="clear" w:color="auto" w:fill="FFFFFF"/>
        </w:rPr>
        <w:t>了</w:t>
      </w:r>
      <w:r>
        <w:t>《</w:t>
      </w:r>
      <w:r>
        <w:rPr>
          <w:rFonts w:hint="eastAsia"/>
        </w:rPr>
        <w:t>国道丹阿公路同江松花江公路大桥及引道工程项目环境影响评价第一次公示</w:t>
      </w:r>
      <w:r>
        <w:t>》</w:t>
      </w:r>
      <w:r>
        <w:rPr>
          <w:rFonts w:hint="eastAsia"/>
        </w:rPr>
        <w:t>，</w:t>
      </w:r>
      <w:r>
        <w:t>符合《环境影响评价公众参与办法》中第九条的要求。公示截图见图2.2-1。</w:t>
      </w:r>
    </w:p>
    <w:p w14:paraId="6B563B3D">
      <w:pPr>
        <w:pStyle w:val="4"/>
        <w:rPr>
          <w:rFonts w:ascii="Times New Roman" w:hAnsi="Times New Roman" w:cs="Times New Roman"/>
        </w:rPr>
      </w:pPr>
      <w:bookmarkStart w:id="14" w:name="_Toc534362524"/>
      <w:bookmarkStart w:id="15" w:name="_Toc4848"/>
      <w:r>
        <w:rPr>
          <w:rFonts w:ascii="Times New Roman" w:hAnsi="Times New Roman" w:cs="Times New Roman"/>
        </w:rPr>
        <w:t>2.3公众意见情况</w:t>
      </w:r>
      <w:bookmarkEnd w:id="14"/>
      <w:bookmarkEnd w:id="15"/>
    </w:p>
    <w:p w14:paraId="662B7D1B">
      <w:pPr>
        <w:pStyle w:val="20"/>
        <w:ind w:firstLine="480"/>
      </w:pPr>
      <w:r>
        <w:t>在首次环境影响评价信息公示期间，我单位未收到群众的来电来函。</w:t>
      </w:r>
    </w:p>
    <w:p w14:paraId="2D6B6F05">
      <w:pPr>
        <w:pStyle w:val="20"/>
        <w:spacing w:line="240" w:lineRule="auto"/>
        <w:ind w:firstLine="0" w:firstLineChars="0"/>
        <w:jc w:val="center"/>
      </w:pPr>
      <w:r>
        <w:drawing>
          <wp:inline distT="0" distB="0" distL="0" distR="0">
            <wp:extent cx="4827270" cy="8510905"/>
            <wp:effectExtent l="0" t="0" r="11430" b="4445"/>
            <wp:docPr id="5531964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96466"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27270" cy="8510905"/>
                    </a:xfrm>
                    <a:prstGeom prst="rect">
                      <a:avLst/>
                    </a:prstGeom>
                  </pic:spPr>
                </pic:pic>
              </a:graphicData>
            </a:graphic>
          </wp:inline>
        </w:drawing>
      </w:r>
    </w:p>
    <w:p w14:paraId="0D8ED01C">
      <w:pPr>
        <w:widowControl/>
        <w:shd w:val="clear" w:color="auto" w:fill="FFFFFF"/>
        <w:jc w:val="center"/>
        <w:rPr>
          <w:rFonts w:ascii="Times New Roman" w:hAnsi="Times New Roman" w:eastAsia="宋体" w:cs="Times New Roman"/>
          <w:b/>
          <w:sz w:val="24"/>
          <w:szCs w:val="22"/>
        </w:rPr>
      </w:pPr>
      <w:r>
        <w:rPr>
          <w:rFonts w:hint="eastAsia" w:ascii="Times New Roman" w:hAnsi="Times New Roman" w:eastAsia="宋体" w:cs="Times New Roman"/>
          <w:b/>
          <w:sz w:val="24"/>
          <w:szCs w:val="22"/>
        </w:rPr>
        <w:t>图2.2-1  网络平台第一次公示截图</w:t>
      </w:r>
    </w:p>
    <w:p w14:paraId="3AD28BFA">
      <w:pPr>
        <w:pStyle w:val="20"/>
        <w:spacing w:line="240" w:lineRule="auto"/>
        <w:ind w:firstLine="0" w:firstLineChars="0"/>
        <w:jc w:val="center"/>
        <w:sectPr>
          <w:pgSz w:w="11906" w:h="16838"/>
          <w:pgMar w:top="1440" w:right="1800" w:bottom="1440" w:left="1800" w:header="851" w:footer="992" w:gutter="0"/>
          <w:cols w:space="425" w:num="1"/>
          <w:docGrid w:type="lines" w:linePitch="312" w:charSpace="0"/>
        </w:sectPr>
      </w:pPr>
    </w:p>
    <w:p w14:paraId="3A50CC70">
      <w:pPr>
        <w:pStyle w:val="3"/>
        <w:rPr>
          <w:rStyle w:val="22"/>
          <w:b/>
          <w:bCs/>
        </w:rPr>
      </w:pPr>
      <w:bookmarkStart w:id="16" w:name="_Toc534362525"/>
      <w:bookmarkStart w:id="17" w:name="_Toc5753"/>
      <w:r>
        <w:rPr>
          <w:lang w:val="en"/>
        </w:rPr>
        <w:t>3征求意见稿公示情况</w:t>
      </w:r>
      <w:bookmarkEnd w:id="16"/>
      <w:bookmarkEnd w:id="17"/>
    </w:p>
    <w:p w14:paraId="48BFBDA1">
      <w:pPr>
        <w:pStyle w:val="4"/>
        <w:rPr>
          <w:rFonts w:ascii="Times New Roman" w:hAnsi="Times New Roman" w:cs="Times New Roman"/>
        </w:rPr>
      </w:pPr>
      <w:bookmarkStart w:id="18" w:name="_Toc534362526"/>
      <w:bookmarkStart w:id="19" w:name="_Toc15489"/>
      <w:r>
        <w:rPr>
          <w:rFonts w:ascii="Times New Roman" w:hAnsi="Times New Roman" w:cs="Times New Roman"/>
        </w:rPr>
        <w:t>3.1公示内容及时限</w:t>
      </w:r>
      <w:bookmarkEnd w:id="18"/>
      <w:bookmarkEnd w:id="19"/>
    </w:p>
    <w:p w14:paraId="7EDA9443">
      <w:pPr>
        <w:pStyle w:val="20"/>
        <w:ind w:firstLine="480"/>
      </w:pPr>
      <w:r>
        <w:t>评价单位完成了《</w:t>
      </w:r>
      <w:r>
        <w:rPr>
          <w:rFonts w:hint="eastAsia"/>
        </w:rPr>
        <w:t>国道丹阿公路同江松花江公路大桥及引道工程项目</w:t>
      </w:r>
      <w:r>
        <w:t>环境影响报告书征求意见稿》后，我单位按照《环境影响评价公众参与办法》中第十条的规定内容于202</w:t>
      </w:r>
      <w:r>
        <w:rPr>
          <w:rFonts w:hint="eastAsia"/>
        </w:rPr>
        <w:t>5</w:t>
      </w:r>
      <w:r>
        <w:t>年</w:t>
      </w:r>
      <w:r>
        <w:rPr>
          <w:rFonts w:hint="eastAsia"/>
        </w:rPr>
        <w:t>4</w:t>
      </w:r>
      <w:r>
        <w:t>月</w:t>
      </w:r>
      <w:r>
        <w:rPr>
          <w:rFonts w:hint="eastAsia"/>
        </w:rPr>
        <w:t>27</w:t>
      </w:r>
      <w:r>
        <w:t>日进行了公示，并按照《环境影响评价公众参与办法》中第十一条的规定进行同步公开。</w:t>
      </w:r>
      <w:r>
        <w:rPr>
          <w:rFonts w:hint="eastAsia"/>
        </w:rPr>
        <w:t>并分别于2025年4月29日及4月30日在黑龙江日报进行了两次报纸公示。</w:t>
      </w:r>
    </w:p>
    <w:p w14:paraId="2276D92F">
      <w:pPr>
        <w:pStyle w:val="20"/>
        <w:ind w:firstLine="480"/>
      </w:pPr>
      <w:r>
        <w:rPr>
          <w:rFonts w:hint="eastAsia"/>
        </w:rPr>
        <w:t>主要</w:t>
      </w:r>
      <w:r>
        <w:t>公示内容如下：环境影响报告书征求意见稿全文的网络链接及查阅纸质报告书的方式和途径、公众意见表的网络链接、公众提出意见的方式和途径、公众提出意见的起止时间。</w:t>
      </w:r>
    </w:p>
    <w:p w14:paraId="4476A9E1">
      <w:pPr>
        <w:pStyle w:val="4"/>
        <w:rPr>
          <w:rFonts w:ascii="Times New Roman" w:hAnsi="Times New Roman" w:cs="Times New Roman"/>
        </w:rPr>
      </w:pPr>
      <w:bookmarkStart w:id="20" w:name="_Toc534362527"/>
      <w:bookmarkStart w:id="21" w:name="_Toc26547"/>
      <w:r>
        <w:rPr>
          <w:rFonts w:ascii="Times New Roman" w:hAnsi="Times New Roman" w:cs="Times New Roman"/>
        </w:rPr>
        <w:t>3.2公示方式</w:t>
      </w:r>
      <w:bookmarkEnd w:id="20"/>
      <w:bookmarkEnd w:id="21"/>
    </w:p>
    <w:p w14:paraId="175FF35C">
      <w:pPr>
        <w:pStyle w:val="5"/>
        <w:rPr>
          <w:rFonts w:ascii="Times New Roman" w:hAnsi="Times New Roman" w:cs="Times New Roman"/>
        </w:rPr>
      </w:pPr>
      <w:bookmarkStart w:id="22" w:name="_Toc534362528"/>
      <w:r>
        <w:rPr>
          <w:rFonts w:ascii="Times New Roman" w:hAnsi="Times New Roman" w:cs="Times New Roman"/>
        </w:rPr>
        <w:t>3.2.1网络</w:t>
      </w:r>
      <w:bookmarkEnd w:id="22"/>
    </w:p>
    <w:p w14:paraId="5707C2FF">
      <w:pPr>
        <w:pStyle w:val="20"/>
        <w:ind w:firstLine="480"/>
      </w:pPr>
      <w:r>
        <w:t>我单位于</w:t>
      </w:r>
      <w:r>
        <w:rPr>
          <w:rFonts w:hint="eastAsia"/>
        </w:rPr>
        <w:t>2025</w:t>
      </w:r>
      <w:r>
        <w:t>年</w:t>
      </w:r>
      <w:r>
        <w:rPr>
          <w:rFonts w:hint="eastAsia"/>
        </w:rPr>
        <w:t>4</w:t>
      </w:r>
      <w:r>
        <w:t>月</w:t>
      </w:r>
      <w:r>
        <w:rPr>
          <w:rFonts w:hint="eastAsia"/>
        </w:rPr>
        <w:t>27</w:t>
      </w:r>
      <w:r>
        <w:t>日</w:t>
      </w:r>
      <w:r>
        <w:rPr>
          <w:rFonts w:hint="eastAsia"/>
        </w:rPr>
        <w:t>黑龙江省交通运输厅</w:t>
      </w:r>
      <w:r>
        <w:rPr>
          <w:rFonts w:hint="eastAsia"/>
          <w:lang w:val="en-US" w:eastAsia="zh-CN"/>
        </w:rPr>
        <w:t>网站</w:t>
      </w:r>
      <w:r>
        <w:t>发布了《</w:t>
      </w:r>
      <w:r>
        <w:rPr>
          <w:rFonts w:hint="eastAsia"/>
        </w:rPr>
        <w:t>国道丹阿公路同江松花江公路大桥及引道工程项目</w:t>
      </w:r>
      <w:r>
        <w:t>环境影响报告书征求意见稿》</w:t>
      </w:r>
      <w:r>
        <w:rPr>
          <w:rFonts w:hint="eastAsia"/>
        </w:rPr>
        <w:t>，</w:t>
      </w:r>
      <w:r>
        <w:fldChar w:fldCharType="begin"/>
      </w:r>
      <w:r>
        <w:instrText xml:space="preserve"> HYPERLINK "http://www.hlbaoqing.gov.cn），公示时间共10" </w:instrText>
      </w:r>
      <w:r>
        <w:fldChar w:fldCharType="separate"/>
      </w:r>
      <w:r>
        <w:t>公示时间为10</w:t>
      </w:r>
      <w:r>
        <w:fldChar w:fldCharType="end"/>
      </w:r>
      <w:r>
        <w:t>个工作日，符合《环境影响评价公众参与办法》中第十条、第十一条的要求。公示截图见图3.2-1。</w:t>
      </w:r>
    </w:p>
    <w:p w14:paraId="5FD0A1C7">
      <w:pPr>
        <w:pStyle w:val="20"/>
        <w:spacing w:line="240" w:lineRule="auto"/>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34940" cy="8468995"/>
            <wp:effectExtent l="0" t="0" r="3810" b="8255"/>
            <wp:docPr id="2" name="图片 2" descr="二次公示--国道丹阿公路同江松花江公路大桥及引道工程项目环境影响报告书意见征求的网络公示_通知公告_省交通运输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次公示--国道丹阿公路同江松花江公路大桥及引道工程项目环境影响报告书意见征求的网络公示_通知公告_省交通运输厅"/>
                    <pic:cNvPicPr>
                      <a:picLocks noChangeAspect="1"/>
                    </pic:cNvPicPr>
                  </pic:nvPicPr>
                  <pic:blipFill>
                    <a:blip r:embed="rId6"/>
                    <a:stretch>
                      <a:fillRect/>
                    </a:stretch>
                  </pic:blipFill>
                  <pic:spPr>
                    <a:xfrm>
                      <a:off x="0" y="0"/>
                      <a:ext cx="5234940" cy="8468995"/>
                    </a:xfrm>
                    <a:prstGeom prst="rect">
                      <a:avLst/>
                    </a:prstGeom>
                  </pic:spPr>
                </pic:pic>
              </a:graphicData>
            </a:graphic>
          </wp:inline>
        </w:drawing>
      </w:r>
    </w:p>
    <w:p w14:paraId="61DB33C5">
      <w:pPr>
        <w:widowControl/>
        <w:shd w:val="clear" w:color="auto" w:fill="FFFFFF"/>
        <w:jc w:val="center"/>
        <w:rPr>
          <w:rFonts w:ascii="Times New Roman" w:hAnsi="Times New Roman" w:eastAsia="宋体" w:cs="Times New Roman"/>
          <w:b/>
          <w:sz w:val="24"/>
          <w:szCs w:val="22"/>
        </w:rPr>
      </w:pPr>
      <w:r>
        <w:rPr>
          <w:rFonts w:hint="eastAsia" w:ascii="Times New Roman" w:hAnsi="Times New Roman" w:eastAsia="宋体" w:cs="Times New Roman"/>
          <w:b/>
          <w:sz w:val="24"/>
          <w:szCs w:val="22"/>
        </w:rPr>
        <w:t>图3.2-1  网络平台征求意见稿公示截图</w:t>
      </w:r>
    </w:p>
    <w:p w14:paraId="315DFCA9">
      <w:pPr>
        <w:pStyle w:val="5"/>
        <w:pageBreakBefore/>
        <w:rPr>
          <w:rFonts w:ascii="Times New Roman" w:hAnsi="Times New Roman" w:cs="Times New Roman"/>
        </w:rPr>
      </w:pPr>
      <w:bookmarkStart w:id="23" w:name="_Toc534362529"/>
      <w:r>
        <w:rPr>
          <w:rFonts w:ascii="Times New Roman" w:hAnsi="Times New Roman" w:cs="Times New Roman"/>
        </w:rPr>
        <w:t>3.2.2报纸</w:t>
      </w:r>
      <w:bookmarkEnd w:id="23"/>
    </w:p>
    <w:p w14:paraId="7DB2AF0A">
      <w:pPr>
        <w:pStyle w:val="20"/>
        <w:ind w:firstLine="480"/>
      </w:pPr>
      <w:r>
        <w:t>我单位于</w:t>
      </w:r>
      <w:r>
        <w:rPr>
          <w:rFonts w:hint="eastAsia"/>
        </w:rPr>
        <w:t>2025年4月29日及4月30日</w:t>
      </w:r>
      <w:r>
        <w:t>在</w:t>
      </w:r>
      <w:r>
        <w:rPr>
          <w:rFonts w:hint="eastAsia"/>
        </w:rPr>
        <w:t>黑龙江日报</w:t>
      </w:r>
      <w:r>
        <w:t>上发布了《</w:t>
      </w:r>
      <w:r>
        <w:rPr>
          <w:rFonts w:hint="eastAsia"/>
        </w:rPr>
        <w:t>国道丹阿公路同江松花江公路大桥及引道工程项目</w:t>
      </w:r>
      <w:r>
        <w:t>环境影响报告书征求意见稿》，在征求意见稿公示期内公开信息2次，符合《环境影响评价公众参与办法》中第十条、第十一条的规定。两次报纸公示情况见图3.2-2及图3.2-3。</w:t>
      </w:r>
    </w:p>
    <w:p w14:paraId="44450801">
      <w:pPr>
        <w:pStyle w:val="20"/>
        <w:spacing w:line="240" w:lineRule="auto"/>
        <w:ind w:firstLine="0" w:firstLineChars="0"/>
        <w:jc w:val="center"/>
      </w:pPr>
      <w:r>
        <w:drawing>
          <wp:inline distT="0" distB="0" distL="0" distR="0">
            <wp:extent cx="3714750" cy="5253990"/>
            <wp:effectExtent l="0" t="0" r="0" b="3810"/>
            <wp:docPr id="10818548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4806"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6561" cy="5257149"/>
                    </a:xfrm>
                    <a:prstGeom prst="rect">
                      <a:avLst/>
                    </a:prstGeom>
                  </pic:spPr>
                </pic:pic>
              </a:graphicData>
            </a:graphic>
          </wp:inline>
        </w:drawing>
      </w:r>
    </w:p>
    <w:p w14:paraId="2750DDF0">
      <w:pPr>
        <w:pStyle w:val="20"/>
        <w:spacing w:line="240" w:lineRule="auto"/>
        <w:ind w:firstLine="0" w:firstLineChars="0"/>
        <w:jc w:val="center"/>
      </w:pPr>
      <w:r>
        <w:rPr>
          <w:rFonts w:hint="eastAsia"/>
        </w:rPr>
        <w:drawing>
          <wp:inline distT="0" distB="0" distL="0" distR="0">
            <wp:extent cx="4432300" cy="6269355"/>
            <wp:effectExtent l="0" t="0" r="6350" b="0"/>
            <wp:docPr id="16287560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56002"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3363" cy="6271079"/>
                    </a:xfrm>
                    <a:prstGeom prst="rect">
                      <a:avLst/>
                    </a:prstGeom>
                  </pic:spPr>
                </pic:pic>
              </a:graphicData>
            </a:graphic>
          </wp:inline>
        </w:drawing>
      </w:r>
    </w:p>
    <w:p w14:paraId="645F1647">
      <w:pPr>
        <w:widowControl/>
        <w:shd w:val="clear" w:color="auto" w:fill="FFFFFF"/>
        <w:jc w:val="center"/>
        <w:rPr>
          <w:rFonts w:ascii="Times New Roman" w:hAnsi="Times New Roman" w:eastAsia="宋体" w:cs="Times New Roman"/>
          <w:b/>
          <w:sz w:val="24"/>
          <w:szCs w:val="22"/>
        </w:rPr>
      </w:pPr>
      <w:r>
        <w:rPr>
          <w:rFonts w:hint="eastAsia" w:ascii="Times New Roman" w:hAnsi="Times New Roman" w:eastAsia="宋体" w:cs="Times New Roman"/>
          <w:b/>
          <w:sz w:val="24"/>
          <w:szCs w:val="22"/>
        </w:rPr>
        <w:t>图3.2-2  报纸第一次公示（报头及刊登版面）</w:t>
      </w:r>
    </w:p>
    <w:p w14:paraId="5F2F78D6">
      <w:pPr>
        <w:pStyle w:val="2"/>
        <w:jc w:val="center"/>
        <w:rPr>
          <w:rFonts w:ascii="Times New Roman" w:hAnsi="Times New Roman" w:eastAsia="宋体" w:cs="Times New Roman"/>
          <w:b/>
          <w:sz w:val="24"/>
          <w:szCs w:val="22"/>
        </w:rPr>
      </w:pPr>
      <w:r>
        <w:rPr>
          <w:rFonts w:ascii="Times New Roman" w:hAnsi="Times New Roman" w:eastAsia="宋体" w:cs="Times New Roman"/>
          <w:b/>
          <w:sz w:val="24"/>
          <w:szCs w:val="22"/>
        </w:rPr>
        <w:drawing>
          <wp:inline distT="0" distB="0" distL="0" distR="0">
            <wp:extent cx="5073015" cy="7175500"/>
            <wp:effectExtent l="0" t="0" r="0" b="6350"/>
            <wp:docPr id="1570815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588"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8865" cy="7183543"/>
                    </a:xfrm>
                    <a:prstGeom prst="rect">
                      <a:avLst/>
                    </a:prstGeom>
                  </pic:spPr>
                </pic:pic>
              </a:graphicData>
            </a:graphic>
          </wp:inline>
        </w:drawing>
      </w:r>
    </w:p>
    <w:p w14:paraId="07A9DE9A">
      <w:pPr>
        <w:pStyle w:val="2"/>
        <w:jc w:val="center"/>
        <w:rPr>
          <w:rFonts w:ascii="Times New Roman" w:hAnsi="Times New Roman" w:eastAsia="宋体" w:cs="Times New Roman"/>
          <w:b/>
          <w:sz w:val="24"/>
          <w:szCs w:val="22"/>
        </w:rPr>
      </w:pPr>
    </w:p>
    <w:p w14:paraId="3B3B8B99">
      <w:pPr>
        <w:pStyle w:val="2"/>
        <w:jc w:val="center"/>
        <w:rPr>
          <w:rFonts w:ascii="Times New Roman" w:hAnsi="Times New Roman" w:eastAsia="宋体" w:cs="Times New Roman"/>
          <w:b/>
          <w:sz w:val="24"/>
          <w:szCs w:val="22"/>
        </w:rPr>
      </w:pPr>
      <w:r>
        <w:rPr>
          <w:rFonts w:ascii="Times New Roman" w:hAnsi="Times New Roman" w:eastAsia="宋体" w:cs="Times New Roman"/>
          <w:b/>
          <w:sz w:val="24"/>
          <w:szCs w:val="22"/>
        </w:rPr>
        <w:drawing>
          <wp:inline distT="0" distB="0" distL="0" distR="0">
            <wp:extent cx="4476750" cy="5047615"/>
            <wp:effectExtent l="0" t="0" r="0" b="635"/>
            <wp:docPr id="6265249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24950" name="图片 10"/>
                    <pic:cNvPicPr>
                      <a:picLocks noChangeAspect="1"/>
                    </pic:cNvPicPr>
                  </pic:nvPicPr>
                  <pic:blipFill>
                    <a:blip r:embed="rId10" cstate="print">
                      <a:extLst>
                        <a:ext uri="{28A0092B-C50C-407E-A947-70E740481C1C}">
                          <a14:useLocalDpi xmlns:a14="http://schemas.microsoft.com/office/drawing/2010/main" val="0"/>
                        </a:ext>
                      </a:extLst>
                    </a:blip>
                    <a:srcRect t="9936" b="10346"/>
                    <a:stretch>
                      <a:fillRect/>
                    </a:stretch>
                  </pic:blipFill>
                  <pic:spPr>
                    <a:xfrm>
                      <a:off x="0" y="0"/>
                      <a:ext cx="4481710" cy="5053734"/>
                    </a:xfrm>
                    <a:prstGeom prst="rect">
                      <a:avLst/>
                    </a:prstGeom>
                    <a:ln>
                      <a:noFill/>
                    </a:ln>
                  </pic:spPr>
                </pic:pic>
              </a:graphicData>
            </a:graphic>
          </wp:inline>
        </w:drawing>
      </w:r>
    </w:p>
    <w:p w14:paraId="76674EF6">
      <w:pPr>
        <w:widowControl/>
        <w:shd w:val="clear" w:color="auto" w:fill="FFFFFF"/>
        <w:jc w:val="center"/>
        <w:rPr>
          <w:rFonts w:ascii="Times New Roman" w:hAnsi="Times New Roman" w:eastAsia="宋体" w:cs="Times New Roman"/>
          <w:b/>
          <w:sz w:val="24"/>
          <w:szCs w:val="22"/>
        </w:rPr>
      </w:pPr>
      <w:r>
        <w:rPr>
          <w:rFonts w:hint="eastAsia" w:ascii="Times New Roman" w:hAnsi="Times New Roman" w:eastAsia="宋体" w:cs="Times New Roman"/>
          <w:b/>
          <w:sz w:val="24"/>
          <w:szCs w:val="22"/>
        </w:rPr>
        <w:t>图3.2-3  报纸第二次公示（报头及刊登版面）</w:t>
      </w:r>
    </w:p>
    <w:p w14:paraId="744D2029">
      <w:pPr>
        <w:pStyle w:val="5"/>
        <w:rPr>
          <w:rFonts w:ascii="Times New Roman" w:hAnsi="Times New Roman" w:cs="Times New Roman"/>
        </w:rPr>
      </w:pPr>
      <w:bookmarkStart w:id="24" w:name="_Toc534362530"/>
      <w:r>
        <w:rPr>
          <w:rFonts w:ascii="Times New Roman" w:hAnsi="Times New Roman" w:cs="Times New Roman"/>
        </w:rPr>
        <w:t>3.2.3张贴</w:t>
      </w:r>
      <w:bookmarkEnd w:id="24"/>
    </w:p>
    <w:p w14:paraId="4DD7BB35">
      <w:pPr>
        <w:pStyle w:val="20"/>
        <w:ind w:firstLine="480"/>
      </w:pPr>
      <w:r>
        <w:t>我单位于</w:t>
      </w:r>
      <w:r>
        <w:rPr>
          <w:rFonts w:hint="eastAsia"/>
        </w:rPr>
        <w:t>2025</w:t>
      </w:r>
      <w:r>
        <w:t>年</w:t>
      </w:r>
      <w:r>
        <w:rPr>
          <w:rFonts w:hint="eastAsia"/>
        </w:rPr>
        <w:t>4</w:t>
      </w:r>
      <w:r>
        <w:t>月</w:t>
      </w:r>
      <w:r>
        <w:rPr>
          <w:rFonts w:hint="eastAsia"/>
        </w:rPr>
        <w:t>29</w:t>
      </w:r>
      <w:r>
        <w:t>日在</w:t>
      </w:r>
      <w:r>
        <w:rPr>
          <w:rFonts w:hint="eastAsia"/>
        </w:rPr>
        <w:t>同江市农村公路养护中心和绥滨县交通运输局</w:t>
      </w:r>
      <w:r>
        <w:t>布告栏张贴了《</w:t>
      </w:r>
      <w:r>
        <w:rPr>
          <w:rFonts w:hint="eastAsia"/>
        </w:rPr>
        <w:t>国道丹阿公路同江松花江公路大桥及引道工程项目</w:t>
      </w:r>
      <w:r>
        <w:t>环境影响报告书征求意见稿</w:t>
      </w:r>
      <w:r>
        <w:rPr>
          <w:rFonts w:hint="eastAsia"/>
        </w:rPr>
        <w:t>公示</w:t>
      </w:r>
      <w:r>
        <w:t>》，</w:t>
      </w:r>
      <w:r>
        <w:fldChar w:fldCharType="begin"/>
      </w:r>
      <w:r>
        <w:instrText xml:space="preserve"> HYPERLINK "http://www.hlbaoqing.gov.cn），公示时间共10" </w:instrText>
      </w:r>
      <w:r>
        <w:fldChar w:fldCharType="separate"/>
      </w:r>
      <w:r>
        <w:t>公示时间为10</w:t>
      </w:r>
      <w:r>
        <w:fldChar w:fldCharType="end"/>
      </w:r>
      <w:r>
        <w:t>个工作日，符合《环境影响评价公众参与办法》中第十条、第十一条的要求。公示截图见图3.2-3。</w:t>
      </w:r>
    </w:p>
    <w:p w14:paraId="6835B2E6">
      <w:pPr>
        <w:pStyle w:val="20"/>
        <w:spacing w:line="240" w:lineRule="auto"/>
        <w:ind w:firstLine="0" w:firstLineChars="0"/>
        <w:jc w:val="center"/>
      </w:pPr>
      <w:r>
        <w:drawing>
          <wp:inline distT="0" distB="0" distL="0" distR="0">
            <wp:extent cx="5274310" cy="3954145"/>
            <wp:effectExtent l="0" t="0" r="2540" b="8255"/>
            <wp:docPr id="10419292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2928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14:paraId="6F1D08CE">
      <w:pPr>
        <w:widowControl/>
        <w:shd w:val="clear" w:color="auto" w:fill="FFFFFF"/>
        <w:jc w:val="center"/>
        <w:rPr>
          <w:rFonts w:ascii="Times New Roman" w:hAnsi="Times New Roman" w:eastAsia="宋体" w:cs="Times New Roman"/>
          <w:b/>
          <w:sz w:val="24"/>
          <w:szCs w:val="22"/>
        </w:rPr>
      </w:pPr>
      <w:r>
        <w:rPr>
          <w:rFonts w:ascii="Times New Roman" w:hAnsi="Times New Roman" w:eastAsia="宋体" w:cs="Times New Roman"/>
          <w:b/>
          <w:sz w:val="24"/>
          <w:szCs w:val="22"/>
        </w:rPr>
        <w:drawing>
          <wp:inline distT="0" distB="0" distL="0" distR="0">
            <wp:extent cx="5274310" cy="3954145"/>
            <wp:effectExtent l="0" t="0" r="2540" b="8255"/>
            <wp:docPr id="6721480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48008"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14:paraId="47E7AC37">
      <w:pPr>
        <w:widowControl/>
        <w:shd w:val="clear" w:color="auto" w:fill="FFFFFF"/>
        <w:jc w:val="center"/>
        <w:rPr>
          <w:rFonts w:ascii="Times New Roman" w:hAnsi="Times New Roman" w:eastAsia="宋体" w:cs="Times New Roman"/>
          <w:b/>
          <w:sz w:val="24"/>
          <w:szCs w:val="22"/>
        </w:rPr>
      </w:pPr>
      <w:r>
        <w:rPr>
          <w:rFonts w:hint="eastAsia" w:ascii="Times New Roman" w:hAnsi="Times New Roman" w:eastAsia="宋体" w:cs="Times New Roman"/>
          <w:b/>
          <w:sz w:val="24"/>
          <w:szCs w:val="22"/>
        </w:rPr>
        <w:t>图3.2-4  现场公示</w:t>
      </w:r>
    </w:p>
    <w:p w14:paraId="1DC68AAE">
      <w:pPr>
        <w:pStyle w:val="4"/>
        <w:rPr>
          <w:rFonts w:ascii="Times New Roman" w:hAnsi="Times New Roman" w:cs="Times New Roman"/>
        </w:rPr>
      </w:pPr>
      <w:bookmarkStart w:id="25" w:name="_Toc534362531"/>
      <w:bookmarkStart w:id="26" w:name="_Toc16557"/>
      <w:r>
        <w:rPr>
          <w:rFonts w:ascii="Times New Roman" w:hAnsi="Times New Roman" w:cs="Times New Roman"/>
        </w:rPr>
        <w:t>3.3查阅情况</w:t>
      </w:r>
      <w:bookmarkEnd w:id="25"/>
      <w:bookmarkEnd w:id="26"/>
    </w:p>
    <w:p w14:paraId="64C300BD">
      <w:pPr>
        <w:pStyle w:val="20"/>
        <w:ind w:firstLine="480"/>
      </w:pPr>
      <w:r>
        <w:t>公示期间未接到要求查询纸质报告书的公众电话。</w:t>
      </w:r>
    </w:p>
    <w:p w14:paraId="28003019">
      <w:pPr>
        <w:pStyle w:val="4"/>
        <w:rPr>
          <w:rFonts w:ascii="Times New Roman" w:hAnsi="Times New Roman" w:cs="Times New Roman"/>
        </w:rPr>
      </w:pPr>
      <w:bookmarkStart w:id="27" w:name="_Toc534362532"/>
      <w:bookmarkStart w:id="28" w:name="_Toc20152"/>
      <w:r>
        <w:rPr>
          <w:rFonts w:ascii="Times New Roman" w:hAnsi="Times New Roman" w:cs="Times New Roman"/>
        </w:rPr>
        <w:t>3.4公众提出意见情况</w:t>
      </w:r>
      <w:bookmarkEnd w:id="27"/>
      <w:bookmarkEnd w:id="28"/>
    </w:p>
    <w:p w14:paraId="2A41F5F7">
      <w:pPr>
        <w:pStyle w:val="20"/>
        <w:ind w:firstLine="480"/>
        <w:sectPr>
          <w:pgSz w:w="11906" w:h="16838"/>
          <w:pgMar w:top="1440" w:right="1800" w:bottom="1440" w:left="1800" w:header="851" w:footer="992" w:gutter="0"/>
          <w:cols w:space="425" w:num="1"/>
          <w:docGrid w:type="lines" w:linePitch="312" w:charSpace="0"/>
        </w:sectPr>
      </w:pPr>
      <w:r>
        <w:t>在建设项目环境影响报告书征求意见稿公示期间，我单位未收到群众的来电来函。</w:t>
      </w:r>
    </w:p>
    <w:p w14:paraId="3F85D820">
      <w:pPr>
        <w:pStyle w:val="3"/>
        <w:rPr>
          <w:lang w:val="en"/>
        </w:rPr>
      </w:pPr>
      <w:bookmarkStart w:id="29" w:name="_Toc534362533"/>
      <w:bookmarkStart w:id="30" w:name="_Toc8094"/>
      <w:r>
        <w:rPr>
          <w:lang w:val="en"/>
        </w:rPr>
        <w:t>4其他公众参与情况</w:t>
      </w:r>
      <w:bookmarkEnd w:id="29"/>
      <w:bookmarkEnd w:id="30"/>
    </w:p>
    <w:p w14:paraId="0CC123D6">
      <w:pPr>
        <w:pStyle w:val="20"/>
        <w:ind w:firstLine="480"/>
      </w:pPr>
      <w:r>
        <w:t>我单位已按照《环境影响评价公众参与办法》要求进行了网络平台、报纸、现场张贴公示，未采用其他方式的公众参与信息公示。</w:t>
      </w:r>
    </w:p>
    <w:p w14:paraId="688884E8">
      <w:pPr>
        <w:pStyle w:val="20"/>
        <w:ind w:firstLine="480"/>
      </w:pPr>
    </w:p>
    <w:p w14:paraId="585FB303">
      <w:pPr>
        <w:pStyle w:val="3"/>
        <w:rPr>
          <w:sz w:val="28"/>
          <w:szCs w:val="28"/>
          <w:lang w:val="en"/>
        </w:rPr>
      </w:pPr>
      <w:bookmarkStart w:id="31" w:name="_Toc10762"/>
      <w:r>
        <w:rPr>
          <w:lang w:val="en"/>
        </w:rPr>
        <w:t>5公众意见处理情况</w:t>
      </w:r>
      <w:bookmarkEnd w:id="31"/>
    </w:p>
    <w:p w14:paraId="6A636828">
      <w:pPr>
        <w:pStyle w:val="20"/>
        <w:ind w:firstLine="480"/>
      </w:pPr>
      <w:r>
        <w:rPr>
          <w:rFonts w:hint="eastAsia"/>
        </w:rPr>
        <w:t>我</w:t>
      </w:r>
      <w:r>
        <w:t>单位在首次环境影响评价信息</w:t>
      </w:r>
      <w:r>
        <w:rPr>
          <w:rFonts w:hint="eastAsia"/>
        </w:rPr>
        <w:t>及</w:t>
      </w:r>
      <w:r>
        <w:t>建设项目环境影响</w:t>
      </w:r>
      <w:r>
        <w:rPr>
          <w:rFonts w:hint="eastAsia"/>
        </w:rPr>
        <w:t>报告书征求</w:t>
      </w:r>
      <w:r>
        <w:t>意见稿公示</w:t>
      </w:r>
      <w:r>
        <w:rPr>
          <w:rFonts w:hint="eastAsia"/>
        </w:rPr>
        <w:t>期间</w:t>
      </w:r>
      <w:r>
        <w:t>，我单位未收到</w:t>
      </w:r>
      <w:r>
        <w:rPr>
          <w:rFonts w:hint="eastAsia"/>
        </w:rPr>
        <w:t>任何公众</w:t>
      </w:r>
      <w:r>
        <w:t>意见。</w:t>
      </w:r>
    </w:p>
    <w:p w14:paraId="029FC038">
      <w:pPr>
        <w:pStyle w:val="20"/>
        <w:ind w:firstLine="480"/>
      </w:pPr>
    </w:p>
    <w:p w14:paraId="459DD738">
      <w:pPr>
        <w:pStyle w:val="20"/>
        <w:ind w:firstLine="480"/>
        <w:sectPr>
          <w:pgSz w:w="11906" w:h="16838"/>
          <w:pgMar w:top="1440" w:right="1800" w:bottom="1440" w:left="1800" w:header="851" w:footer="992" w:gutter="0"/>
          <w:cols w:space="425" w:num="1"/>
          <w:docGrid w:type="lines" w:linePitch="312" w:charSpace="0"/>
        </w:sectPr>
      </w:pPr>
    </w:p>
    <w:p w14:paraId="535665FF">
      <w:pPr>
        <w:pStyle w:val="3"/>
        <w:rPr>
          <w:lang w:val="en"/>
        </w:rPr>
      </w:pPr>
      <w:bookmarkStart w:id="32" w:name="_Toc534362535"/>
      <w:bookmarkStart w:id="33" w:name="_Toc2266"/>
      <w:bookmarkStart w:id="34" w:name="_Toc534362534"/>
      <w:r>
        <w:rPr>
          <w:rFonts w:hint="eastAsia"/>
          <w:lang w:val="en"/>
        </w:rPr>
        <w:t>6报批前公开情况</w:t>
      </w:r>
      <w:bookmarkEnd w:id="32"/>
      <w:bookmarkEnd w:id="33"/>
    </w:p>
    <w:p w14:paraId="3493D2A3">
      <w:pPr>
        <w:pStyle w:val="4"/>
      </w:pPr>
      <w:bookmarkStart w:id="35" w:name="_Toc534362536"/>
      <w:bookmarkStart w:id="36" w:name="_Toc20959"/>
      <w:r>
        <w:rPr>
          <w:rFonts w:hint="eastAsia"/>
        </w:rPr>
        <w:t>6.1公开内容及日期</w:t>
      </w:r>
      <w:bookmarkEnd w:id="35"/>
      <w:bookmarkEnd w:id="36"/>
    </w:p>
    <w:p w14:paraId="26047961">
      <w:pPr>
        <w:pStyle w:val="20"/>
        <w:ind w:firstLine="480"/>
      </w:pPr>
      <w:r>
        <w:rPr>
          <w:rFonts w:hint="eastAsia"/>
        </w:rPr>
        <w:t>我单位在报送《国道丹阿公路同江松花江公路大桥及引道工程项目</w:t>
      </w:r>
      <w:r>
        <w:t>环境影响报告》</w:t>
      </w:r>
      <w:r>
        <w:rPr>
          <w:rFonts w:hint="eastAsia"/>
        </w:rPr>
        <w:t>之前，</w:t>
      </w:r>
      <w:r>
        <w:rPr>
          <w:highlight w:val="none"/>
        </w:rPr>
        <w:t>于</w:t>
      </w:r>
      <w:r>
        <w:rPr>
          <w:rFonts w:hint="eastAsia"/>
          <w:highlight w:val="none"/>
        </w:rPr>
        <w:t>20</w:t>
      </w:r>
      <w:r>
        <w:rPr>
          <w:highlight w:val="none"/>
        </w:rPr>
        <w:t>2</w:t>
      </w:r>
      <w:r>
        <w:rPr>
          <w:rFonts w:hint="eastAsia"/>
          <w:highlight w:val="none"/>
        </w:rPr>
        <w:t>5年5月</w:t>
      </w:r>
      <w:r>
        <w:rPr>
          <w:rFonts w:hint="eastAsia"/>
          <w:highlight w:val="none"/>
          <w:lang w:val="en-US" w:eastAsia="zh-CN"/>
        </w:rPr>
        <w:t>22</w:t>
      </w:r>
      <w:r>
        <w:rPr>
          <w:rFonts w:hint="eastAsia"/>
          <w:highlight w:val="none"/>
        </w:rPr>
        <w:t>日对</w:t>
      </w:r>
      <w:r>
        <w:rPr>
          <w:rFonts w:hint="eastAsia"/>
        </w:rPr>
        <w:t>《国道丹阿公路同江松花江公路大桥及引道工程项目</w:t>
      </w:r>
      <w:r>
        <w:t>环境影响报告》</w:t>
      </w:r>
      <w:r>
        <w:rPr>
          <w:rFonts w:hint="eastAsia"/>
        </w:rPr>
        <w:t>和《国道丹阿公路同江松花江公路大桥及引道工程项目环境</w:t>
      </w:r>
      <w:r>
        <w:t>影响评价</w:t>
      </w:r>
      <w:r>
        <w:rPr>
          <w:rFonts w:hint="eastAsia"/>
        </w:rPr>
        <w:t>公众参与说明</w:t>
      </w:r>
      <w:r>
        <w:t>》</w:t>
      </w:r>
      <w:r>
        <w:rPr>
          <w:rFonts w:hint="eastAsia"/>
        </w:rPr>
        <w:t>进行公示，</w:t>
      </w:r>
      <w:r>
        <w:t>符合</w:t>
      </w:r>
      <w:r>
        <w:rPr>
          <w:rFonts w:hint="eastAsia"/>
        </w:rPr>
        <w:t>《环境影响评价公众参与办法》中“</w:t>
      </w:r>
      <w:r>
        <w:t>第二十条 建设单位向生态环境主管部门报批环境影响报告书前，应当通过网络平台，公开拟报批的环境影响报告书全文和公众参与说明</w:t>
      </w:r>
      <w:r>
        <w:rPr>
          <w:rFonts w:hint="eastAsia"/>
        </w:rPr>
        <w:t>”的</w:t>
      </w:r>
      <w:r>
        <w:t>相关要求</w:t>
      </w:r>
      <w:r>
        <w:rPr>
          <w:rFonts w:hint="eastAsia"/>
        </w:rPr>
        <w:t>。</w:t>
      </w:r>
    </w:p>
    <w:p w14:paraId="14B140A1">
      <w:pPr>
        <w:pStyle w:val="4"/>
      </w:pPr>
      <w:bookmarkStart w:id="37" w:name="_Toc534362537"/>
      <w:bookmarkStart w:id="38" w:name="_Toc26469"/>
      <w:r>
        <w:rPr>
          <w:rFonts w:hint="eastAsia"/>
        </w:rPr>
        <w:t>6.2公开方式</w:t>
      </w:r>
      <w:bookmarkEnd w:id="37"/>
      <w:bookmarkEnd w:id="38"/>
    </w:p>
    <w:p w14:paraId="6F09116A">
      <w:pPr>
        <w:pStyle w:val="20"/>
        <w:ind w:firstLine="480"/>
        <w:jc w:val="left"/>
      </w:pPr>
      <w:r>
        <w:t>我单位</w:t>
      </w:r>
      <w:r>
        <w:rPr>
          <w:rFonts w:hint="eastAsia"/>
          <w:highlight w:val="none"/>
        </w:rPr>
        <w:t>于</w:t>
      </w:r>
      <w:r>
        <w:rPr>
          <w:highlight w:val="none"/>
        </w:rPr>
        <w:t>202</w:t>
      </w:r>
      <w:r>
        <w:rPr>
          <w:rFonts w:hint="eastAsia"/>
          <w:highlight w:val="none"/>
          <w:lang w:val="en-US" w:eastAsia="zh-CN"/>
        </w:rPr>
        <w:t>5</w:t>
      </w:r>
      <w:r>
        <w:rPr>
          <w:highlight w:val="none"/>
        </w:rPr>
        <w:t>年</w:t>
      </w:r>
      <w:r>
        <w:rPr>
          <w:rFonts w:hint="eastAsia"/>
          <w:highlight w:val="none"/>
          <w:lang w:val="en-US" w:eastAsia="zh-CN"/>
        </w:rPr>
        <w:t>5</w:t>
      </w:r>
      <w:r>
        <w:rPr>
          <w:highlight w:val="none"/>
        </w:rPr>
        <w:t>月</w:t>
      </w:r>
      <w:r>
        <w:rPr>
          <w:rFonts w:hint="eastAsia"/>
          <w:highlight w:val="none"/>
          <w:lang w:val="en-US" w:eastAsia="zh-CN"/>
        </w:rPr>
        <w:t>22</w:t>
      </w:r>
      <w:r>
        <w:rPr>
          <w:highlight w:val="none"/>
        </w:rPr>
        <w:t>日在</w:t>
      </w:r>
      <w:r>
        <w:rPr>
          <w:rFonts w:hint="eastAsia"/>
          <w:highlight w:val="none"/>
        </w:rPr>
        <w:t>黑龙</w:t>
      </w:r>
      <w:r>
        <w:rPr>
          <w:rFonts w:hint="eastAsia"/>
        </w:rPr>
        <w:t>江省交通运输厅</w:t>
      </w:r>
      <w:r>
        <w:rPr>
          <w:rFonts w:hint="eastAsia"/>
          <w:lang w:val="en-US" w:eastAsia="zh-CN"/>
        </w:rPr>
        <w:t>网站</w:t>
      </w:r>
      <w:r>
        <w:t>发布了《</w:t>
      </w:r>
      <w:r>
        <w:rPr>
          <w:rFonts w:hint="eastAsia"/>
        </w:rPr>
        <w:t>国道丹阿公路同江松花江公路大桥及引道工程项目</w:t>
      </w:r>
      <w:r>
        <w:t>环境影响报告</w:t>
      </w:r>
      <w:r>
        <w:rPr>
          <w:rFonts w:hint="eastAsia"/>
          <w:lang w:val="en-US" w:eastAsia="zh-CN"/>
        </w:rPr>
        <w:t>书</w:t>
      </w:r>
      <w:r>
        <w:rPr>
          <w:rFonts w:hint="eastAsia"/>
          <w:lang w:eastAsia="zh-CN"/>
        </w:rPr>
        <w:t>》</w:t>
      </w:r>
      <w:r>
        <w:rPr>
          <w:rFonts w:hint="eastAsia"/>
        </w:rPr>
        <w:t>全文及</w:t>
      </w:r>
      <w:r>
        <w:rPr>
          <w:rFonts w:hint="eastAsia"/>
          <w:lang w:eastAsia="zh-CN"/>
        </w:rPr>
        <w:t>《</w:t>
      </w:r>
      <w:r>
        <w:rPr>
          <w:rFonts w:hint="eastAsia"/>
        </w:rPr>
        <w:t>国道丹阿公路同江松花江公路大桥及引道工程</w:t>
      </w:r>
      <w:r>
        <w:rPr>
          <w:rFonts w:hint="eastAsia"/>
          <w:lang w:val="en-US" w:eastAsia="zh-CN"/>
        </w:rPr>
        <w:t>环境影响评价</w:t>
      </w:r>
      <w:r>
        <w:rPr>
          <w:rFonts w:hint="eastAsia"/>
        </w:rPr>
        <w:t>公众参与说明</w:t>
      </w:r>
      <w:r>
        <w:t>》</w:t>
      </w:r>
      <w:r>
        <w:rPr>
          <w:rFonts w:hint="eastAsia"/>
          <w:lang w:eastAsia="zh-CN"/>
        </w:rPr>
        <w:t>，</w:t>
      </w:r>
      <w:r>
        <w:rPr>
          <w:rFonts w:hint="eastAsia"/>
          <w:lang w:val="en-US" w:eastAsia="zh-CN"/>
        </w:rPr>
        <w:t>公示网络链接为：</w:t>
      </w:r>
      <w:r>
        <w:rPr>
          <w:rFonts w:hint="eastAsia"/>
          <w:highlight w:val="none"/>
        </w:rPr>
        <w:t>https://jt.hlj.gov.cn/jt/c105021/202505/c00_31843443.shtml</w:t>
      </w:r>
      <w:r>
        <w:rPr>
          <w:highlight w:val="none"/>
        </w:rPr>
        <w:t>，</w:t>
      </w:r>
      <w:r>
        <w:t>符合《环境影响评价公众参与办法》中</w:t>
      </w:r>
      <w:r>
        <w:rPr>
          <w:rFonts w:hint="eastAsia"/>
        </w:rPr>
        <w:t>第二</w:t>
      </w:r>
      <w:r>
        <w:t>十条的</w:t>
      </w:r>
      <w:r>
        <w:rPr>
          <w:rFonts w:hint="eastAsia"/>
        </w:rPr>
        <w:t>要求</w:t>
      </w:r>
      <w:r>
        <w:t>。公示截图见图6.2-1。</w:t>
      </w:r>
    </w:p>
    <w:p w14:paraId="49EE00CD">
      <w:pPr>
        <w:pStyle w:val="20"/>
        <w:spacing w:line="240" w:lineRule="auto"/>
        <w:ind w:firstLine="0" w:firstLineChars="0"/>
        <w:rPr>
          <w:rFonts w:hint="eastAsia" w:eastAsiaTheme="minorEastAsia"/>
          <w:lang w:eastAsia="zh-CN"/>
        </w:rPr>
      </w:pPr>
      <w:r>
        <w:rPr>
          <w:rFonts w:hint="eastAsia" w:eastAsiaTheme="minorEastAsia"/>
          <w:lang w:eastAsia="zh-CN"/>
        </w:rPr>
        <w:drawing>
          <wp:inline distT="0" distB="0" distL="114300" distR="114300">
            <wp:extent cx="5645785" cy="8439785"/>
            <wp:effectExtent l="0" t="0" r="12065" b="18415"/>
            <wp:docPr id="3" name="图片 3" descr="国道丹阿公路同江松花江公路大桥及引道工程项目环境影响报告书报批前公示_通知公告_省交通运输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道丹阿公路同江松花江公路大桥及引道工程项目环境影响报告书报批前公示_通知公告_省交通运输厅"/>
                    <pic:cNvPicPr>
                      <a:picLocks noChangeAspect="1"/>
                    </pic:cNvPicPr>
                  </pic:nvPicPr>
                  <pic:blipFill>
                    <a:blip r:embed="rId13"/>
                    <a:srcRect l="3956" r="3613"/>
                    <a:stretch>
                      <a:fillRect/>
                    </a:stretch>
                  </pic:blipFill>
                  <pic:spPr>
                    <a:xfrm>
                      <a:off x="0" y="0"/>
                      <a:ext cx="5645785" cy="8439785"/>
                    </a:xfrm>
                    <a:prstGeom prst="rect">
                      <a:avLst/>
                    </a:prstGeom>
                  </pic:spPr>
                </pic:pic>
              </a:graphicData>
            </a:graphic>
          </wp:inline>
        </w:drawing>
      </w:r>
    </w:p>
    <w:p w14:paraId="4AA18486">
      <w:pPr>
        <w:widowControl/>
        <w:shd w:val="clear" w:color="auto" w:fill="FFFFFF"/>
        <w:jc w:val="center"/>
        <w:rPr>
          <w:rFonts w:ascii="Times New Roman" w:hAnsi="Times New Roman" w:eastAsia="宋体" w:cs="Times New Roman"/>
          <w:b/>
          <w:sz w:val="24"/>
          <w:szCs w:val="22"/>
          <w:highlight w:val="none"/>
        </w:rPr>
      </w:pPr>
      <w:r>
        <w:rPr>
          <w:rFonts w:hint="eastAsia" w:ascii="Times New Roman" w:hAnsi="Times New Roman" w:eastAsia="宋体" w:cs="Times New Roman"/>
          <w:b/>
          <w:sz w:val="24"/>
          <w:szCs w:val="22"/>
          <w:highlight w:val="none"/>
        </w:rPr>
        <w:t>图</w:t>
      </w:r>
      <w:r>
        <w:rPr>
          <w:rFonts w:ascii="Times New Roman" w:hAnsi="Times New Roman" w:eastAsia="宋体" w:cs="Times New Roman"/>
          <w:b/>
          <w:sz w:val="24"/>
          <w:szCs w:val="22"/>
          <w:highlight w:val="none"/>
        </w:rPr>
        <w:t>6.2-1</w:t>
      </w:r>
      <w:r>
        <w:rPr>
          <w:rFonts w:hint="eastAsia" w:ascii="Times New Roman" w:hAnsi="Times New Roman" w:eastAsia="宋体" w:cs="Times New Roman"/>
          <w:b/>
          <w:sz w:val="24"/>
          <w:szCs w:val="22"/>
          <w:highlight w:val="none"/>
        </w:rPr>
        <w:t xml:space="preserve">  报批前公示</w:t>
      </w:r>
    </w:p>
    <w:bookmarkEnd w:id="34"/>
    <w:p w14:paraId="3165F088">
      <w:pPr>
        <w:pStyle w:val="20"/>
        <w:ind w:firstLine="480"/>
        <w:sectPr>
          <w:type w:val="continuous"/>
          <w:pgSz w:w="11906" w:h="16838"/>
          <w:pgMar w:top="1440" w:right="1800" w:bottom="1440" w:left="1800" w:header="851" w:footer="992" w:gutter="0"/>
          <w:cols w:space="425" w:num="1"/>
          <w:docGrid w:type="lines" w:linePitch="312" w:charSpace="0"/>
        </w:sectPr>
      </w:pPr>
    </w:p>
    <w:p w14:paraId="2EC961CE">
      <w:pPr>
        <w:pStyle w:val="3"/>
        <w:rPr>
          <w:lang w:val="en"/>
        </w:rPr>
      </w:pPr>
      <w:bookmarkStart w:id="39" w:name="_Toc534362538"/>
      <w:bookmarkStart w:id="40" w:name="_Toc12866"/>
      <w:r>
        <w:rPr>
          <w:rFonts w:hint="eastAsia"/>
          <w:lang w:val="en"/>
        </w:rPr>
        <w:t>7存档备查情况</w:t>
      </w:r>
      <w:bookmarkEnd w:id="39"/>
      <w:bookmarkEnd w:id="40"/>
    </w:p>
    <w:p w14:paraId="7EB9F1DA">
      <w:pPr>
        <w:pStyle w:val="20"/>
        <w:ind w:firstLine="480"/>
      </w:pPr>
      <w:r>
        <w:rPr>
          <w:rFonts w:hint="eastAsia"/>
        </w:rPr>
        <w:t>国道丹阿公路同江松花江公路大桥及引道工程项目</w:t>
      </w:r>
      <w:r>
        <w:t>环境影响评价公众参与工作资料主要包括以下几项：</w:t>
      </w:r>
    </w:p>
    <w:p w14:paraId="3E80261E">
      <w:pPr>
        <w:pStyle w:val="20"/>
        <w:ind w:left="480" w:firstLine="0" w:firstLineChars="0"/>
      </w:pPr>
      <w:r>
        <w:rPr>
          <w:rFonts w:hint="eastAsia"/>
        </w:rPr>
        <w:t>（1）国道丹阿公路同江松花江公路大桥及引道工程项目</w:t>
      </w:r>
      <w:r>
        <w:t>环评技术咨询合同</w:t>
      </w:r>
    </w:p>
    <w:p w14:paraId="5543125B">
      <w:pPr>
        <w:pStyle w:val="20"/>
        <w:ind w:firstLine="480"/>
      </w:pPr>
      <w:r>
        <w:rPr>
          <w:rFonts w:hint="eastAsia"/>
        </w:rPr>
        <w:t>（2）</w:t>
      </w:r>
      <w:r>
        <w:t>《</w:t>
      </w:r>
      <w:r>
        <w:rPr>
          <w:rFonts w:hint="eastAsia"/>
        </w:rPr>
        <w:t>国道丹阿公路同江松花江公路大桥及引道工程项目</w:t>
      </w:r>
      <w:r>
        <w:t>环境影响</w:t>
      </w:r>
      <w:r>
        <w:rPr>
          <w:rFonts w:hint="eastAsia"/>
        </w:rPr>
        <w:t>评价第一次公示</w:t>
      </w:r>
      <w:r>
        <w:t>》</w:t>
      </w:r>
    </w:p>
    <w:p w14:paraId="09241583">
      <w:pPr>
        <w:pStyle w:val="20"/>
        <w:ind w:firstLine="480"/>
      </w:pPr>
      <w:r>
        <w:rPr>
          <w:rFonts w:hint="eastAsia"/>
        </w:rPr>
        <w:t>（3）</w:t>
      </w:r>
      <w:r>
        <w:t>《</w:t>
      </w:r>
      <w:r>
        <w:rPr>
          <w:rFonts w:hint="eastAsia"/>
        </w:rPr>
        <w:t>国道丹阿公路同江松花江公路大桥及引道工程项目</w:t>
      </w:r>
      <w:r>
        <w:t>环境影响报告书征求意见稿</w:t>
      </w:r>
      <w:r>
        <w:rPr>
          <w:rFonts w:hint="eastAsia"/>
        </w:rPr>
        <w:t>公示</w:t>
      </w:r>
      <w:r>
        <w:t>》</w:t>
      </w:r>
    </w:p>
    <w:p w14:paraId="4859FE02">
      <w:pPr>
        <w:pStyle w:val="20"/>
        <w:ind w:firstLine="480"/>
      </w:pPr>
      <w:r>
        <w:rPr>
          <w:rFonts w:hint="eastAsia"/>
        </w:rPr>
        <w:t>（4）国道丹阿公路同江松花江公路大桥及引道工程项目段</w:t>
      </w:r>
      <w:r>
        <w:t>影响评价公众参与诚信承诺函</w:t>
      </w:r>
    </w:p>
    <w:p w14:paraId="3F726E24">
      <w:pPr>
        <w:pStyle w:val="20"/>
        <w:numPr>
          <w:ilvl w:val="0"/>
          <w:numId w:val="1"/>
        </w:numPr>
        <w:ind w:firstLine="480"/>
        <w:sectPr>
          <w:pgSz w:w="11906" w:h="16838"/>
          <w:pgMar w:top="1440" w:right="1800" w:bottom="1440" w:left="1800" w:header="851" w:footer="992" w:gutter="0"/>
          <w:cols w:space="425" w:num="1"/>
          <w:docGrid w:type="lines" w:linePitch="312" w:charSpace="0"/>
        </w:sectPr>
      </w:pPr>
    </w:p>
    <w:p w14:paraId="23F825A2">
      <w:pPr>
        <w:pStyle w:val="3"/>
        <w:rPr>
          <w:lang w:val="en"/>
        </w:rPr>
      </w:pPr>
      <w:bookmarkStart w:id="41" w:name="_Toc534362539"/>
      <w:bookmarkStart w:id="42" w:name="_Toc22476"/>
      <w:r>
        <w:rPr>
          <w:rFonts w:hint="eastAsia"/>
          <w:lang w:val="en"/>
        </w:rPr>
        <w:t>8诚信承诺</w:t>
      </w:r>
      <w:bookmarkEnd w:id="41"/>
      <w:bookmarkEnd w:id="42"/>
    </w:p>
    <w:p w14:paraId="01C8876E">
      <w:pPr>
        <w:pStyle w:val="13"/>
        <w:widowControl/>
        <w:spacing w:beforeAutospacing="0" w:afterAutospacing="0" w:line="360" w:lineRule="auto"/>
        <w:ind w:firstLine="480" w:firstLineChars="200"/>
        <w:rPr>
          <w:rFonts w:hint="eastAsia" w:ascii="宋体" w:hAnsi="宋体" w:eastAsia="宋体" w:cs="宋体"/>
        </w:rPr>
      </w:pPr>
      <w:r>
        <w:rPr>
          <w:rFonts w:hint="eastAsia" w:ascii="宋体" w:hAnsi="宋体" w:eastAsia="宋体" w:cs="宋体"/>
        </w:rPr>
        <w:t>我单位已按照《环境影响评价公众参与办法》要求，在</w:t>
      </w:r>
      <w:r>
        <w:rPr>
          <w:rFonts w:hint="eastAsia"/>
        </w:rPr>
        <w:t>国道丹阿公路同江松花江公路大桥及引道工程项目</w:t>
      </w:r>
      <w:r>
        <w:rPr>
          <w:rFonts w:hint="eastAsia" w:ascii="宋体" w:hAnsi="宋体" w:eastAsia="宋体" w:cs="宋体"/>
        </w:rPr>
        <w:t>环境影响报告书编制阶段开展了公众参与工作，在环境影响报告书中充分采纳了公众提出的与环境影响相关的合理意见，对未采纳的意见按要求进行了说明，并按照要求编制了公众参与说明。</w:t>
      </w:r>
    </w:p>
    <w:p w14:paraId="050036B2">
      <w:pPr>
        <w:pStyle w:val="13"/>
        <w:widowControl/>
        <w:spacing w:beforeAutospacing="0" w:afterAutospacing="0" w:line="360" w:lineRule="auto"/>
        <w:ind w:firstLine="480" w:firstLineChars="200"/>
        <w:rPr>
          <w:rFonts w:hint="eastAsia" w:ascii="宋体" w:hAnsi="宋体" w:eastAsia="宋体" w:cs="宋体"/>
        </w:rPr>
      </w:pPr>
      <w:r>
        <w:rPr>
          <w:rFonts w:hint="eastAsia" w:ascii="宋体" w:hAnsi="宋体" w:eastAsia="宋体" w:cs="宋体"/>
        </w:rPr>
        <w:t>我单位承诺，本次提交的《</w:t>
      </w:r>
      <w:r>
        <w:rPr>
          <w:rFonts w:hint="eastAsia"/>
        </w:rPr>
        <w:t>国道丹阿公路同江松花江公路大桥及引道工程项目</w:t>
      </w:r>
      <w:r>
        <w:rPr>
          <w:rFonts w:hint="eastAsia" w:ascii="宋体" w:hAnsi="宋体" w:eastAsia="宋体" w:cs="宋体"/>
        </w:rPr>
        <w:t>环境影响评价公众参与说明》内容客观、真实，未包含依法不得公开的国家秘密、商业秘密、个人隐私。如存在弄虚作假、隐瞒欺骗等情况及由此导致的一切后果由</w:t>
      </w:r>
      <w:r>
        <w:rPr>
          <w:rFonts w:hint="eastAsia"/>
        </w:rPr>
        <w:t>黑龙江省公路建设中心</w:t>
      </w:r>
      <w:r>
        <w:rPr>
          <w:rFonts w:hint="eastAsia" w:ascii="宋体" w:hAnsi="宋体" w:eastAsia="宋体" w:cs="宋体"/>
        </w:rPr>
        <w:t>承担全部责任。</w:t>
      </w:r>
    </w:p>
    <w:p w14:paraId="743EF2D3">
      <w:pPr>
        <w:pStyle w:val="20"/>
        <w:ind w:firstLine="480"/>
      </w:pPr>
      <w:r>
        <w:rPr>
          <w:rFonts w:hint="eastAsia"/>
        </w:rPr>
        <w:t>环境影响评价公众参与诚信承诺函见</w:t>
      </w:r>
      <w:r>
        <w:t>附件。</w:t>
      </w:r>
    </w:p>
    <w:p w14:paraId="2DF68746">
      <w:pPr>
        <w:pStyle w:val="20"/>
        <w:ind w:firstLine="480"/>
        <w:sectPr>
          <w:pgSz w:w="11906" w:h="16838"/>
          <w:pgMar w:top="1440" w:right="1800" w:bottom="1440" w:left="1800" w:header="851" w:footer="992" w:gutter="0"/>
          <w:cols w:space="425" w:num="1"/>
          <w:docGrid w:type="lines" w:linePitch="312" w:charSpace="0"/>
        </w:sectPr>
      </w:pPr>
    </w:p>
    <w:p w14:paraId="65B05215">
      <w:pPr>
        <w:pStyle w:val="3"/>
        <w:keepLines w:val="0"/>
        <w:pageBreakBefore w:val="0"/>
        <w:widowControl w:val="0"/>
        <w:rPr>
          <w:highlight w:val="none"/>
        </w:rPr>
      </w:pPr>
      <w:bookmarkStart w:id="43" w:name="_Toc534362540"/>
      <w:bookmarkStart w:id="44" w:name="_Toc7033"/>
      <w:r>
        <w:rPr>
          <w:rFonts w:hint="eastAsia"/>
          <w:highlight w:val="none"/>
        </w:rPr>
        <w:t>9附件</w:t>
      </w:r>
      <w:bookmarkEnd w:id="43"/>
      <w:bookmarkEnd w:id="44"/>
    </w:p>
    <w:p w14:paraId="3849DEAC">
      <w:pPr>
        <w:pStyle w:val="20"/>
        <w:spacing w:line="360" w:lineRule="auto"/>
        <w:ind w:firstLine="0" w:firstLineChars="0"/>
        <w:jc w:val="center"/>
        <w:rPr>
          <w:b/>
          <w:bCs/>
          <w:sz w:val="28"/>
          <w:szCs w:val="28"/>
        </w:rPr>
      </w:pPr>
      <w:r>
        <w:drawing>
          <wp:inline distT="0" distB="0" distL="114300" distR="114300">
            <wp:extent cx="5513705" cy="7877175"/>
            <wp:effectExtent l="0" t="0" r="1079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6327" t="3408" r="5203" b="7687"/>
                    <a:stretch>
                      <a:fillRect/>
                    </a:stretch>
                  </pic:blipFill>
                  <pic:spPr>
                    <a:xfrm>
                      <a:off x="0" y="0"/>
                      <a:ext cx="5513705" cy="78771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EA160">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BA18D">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CCBA18D">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1C581B"/>
    <w:multiLevelType w:val="singleLevel"/>
    <w:tmpl w:val="ED1C581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A44143"/>
    <w:rsid w:val="000019E8"/>
    <w:rsid w:val="00010ED6"/>
    <w:rsid w:val="00015DB3"/>
    <w:rsid w:val="0002197D"/>
    <w:rsid w:val="000965CA"/>
    <w:rsid w:val="000C42AC"/>
    <w:rsid w:val="000E0E54"/>
    <w:rsid w:val="00185EE1"/>
    <w:rsid w:val="002551AB"/>
    <w:rsid w:val="002663BD"/>
    <w:rsid w:val="00275C9A"/>
    <w:rsid w:val="003F6697"/>
    <w:rsid w:val="00423557"/>
    <w:rsid w:val="00446A94"/>
    <w:rsid w:val="004979E5"/>
    <w:rsid w:val="004A1DAF"/>
    <w:rsid w:val="004B759D"/>
    <w:rsid w:val="004D2F7C"/>
    <w:rsid w:val="005204D8"/>
    <w:rsid w:val="00523733"/>
    <w:rsid w:val="005E53BF"/>
    <w:rsid w:val="0062052D"/>
    <w:rsid w:val="006544DE"/>
    <w:rsid w:val="006743B7"/>
    <w:rsid w:val="006A3B3C"/>
    <w:rsid w:val="006B5D7A"/>
    <w:rsid w:val="006D66D6"/>
    <w:rsid w:val="006F4B14"/>
    <w:rsid w:val="00754154"/>
    <w:rsid w:val="00755A63"/>
    <w:rsid w:val="007572EA"/>
    <w:rsid w:val="007A3164"/>
    <w:rsid w:val="007C2180"/>
    <w:rsid w:val="007E297D"/>
    <w:rsid w:val="00806EA7"/>
    <w:rsid w:val="00830EDC"/>
    <w:rsid w:val="00843AF8"/>
    <w:rsid w:val="008F4124"/>
    <w:rsid w:val="00995BB9"/>
    <w:rsid w:val="009E0EFA"/>
    <w:rsid w:val="00A55288"/>
    <w:rsid w:val="00A815DA"/>
    <w:rsid w:val="00AB71E2"/>
    <w:rsid w:val="00AC2AB9"/>
    <w:rsid w:val="00B44E23"/>
    <w:rsid w:val="00B51786"/>
    <w:rsid w:val="00B81D27"/>
    <w:rsid w:val="00BF5375"/>
    <w:rsid w:val="00C1241B"/>
    <w:rsid w:val="00C13378"/>
    <w:rsid w:val="00C2389F"/>
    <w:rsid w:val="00C311EB"/>
    <w:rsid w:val="00CB42C0"/>
    <w:rsid w:val="00CD229E"/>
    <w:rsid w:val="00D46FF0"/>
    <w:rsid w:val="00DA1CEE"/>
    <w:rsid w:val="00DA1E07"/>
    <w:rsid w:val="00DD1CFA"/>
    <w:rsid w:val="00E137A9"/>
    <w:rsid w:val="00E35913"/>
    <w:rsid w:val="00E41831"/>
    <w:rsid w:val="00E52450"/>
    <w:rsid w:val="00E7158D"/>
    <w:rsid w:val="00E73C4F"/>
    <w:rsid w:val="00E838D8"/>
    <w:rsid w:val="00EE4409"/>
    <w:rsid w:val="00F011A0"/>
    <w:rsid w:val="00F462A6"/>
    <w:rsid w:val="00F921D6"/>
    <w:rsid w:val="00FC7B2C"/>
    <w:rsid w:val="00FD0FAD"/>
    <w:rsid w:val="00FD69C2"/>
    <w:rsid w:val="00FE4D85"/>
    <w:rsid w:val="01CF1530"/>
    <w:rsid w:val="05EF22C2"/>
    <w:rsid w:val="061D1083"/>
    <w:rsid w:val="072A4C19"/>
    <w:rsid w:val="07677245"/>
    <w:rsid w:val="0AD21B5C"/>
    <w:rsid w:val="0C074534"/>
    <w:rsid w:val="0ECE5049"/>
    <w:rsid w:val="0F2604CB"/>
    <w:rsid w:val="0F6F7382"/>
    <w:rsid w:val="0FD63D75"/>
    <w:rsid w:val="10AC760C"/>
    <w:rsid w:val="11FE75C3"/>
    <w:rsid w:val="125C1F8C"/>
    <w:rsid w:val="140122FE"/>
    <w:rsid w:val="15AF54A9"/>
    <w:rsid w:val="163634D4"/>
    <w:rsid w:val="1A8F5737"/>
    <w:rsid w:val="1DF87C09"/>
    <w:rsid w:val="1F0E3FB6"/>
    <w:rsid w:val="24A0482B"/>
    <w:rsid w:val="25647F73"/>
    <w:rsid w:val="259A3396"/>
    <w:rsid w:val="2A9D4F85"/>
    <w:rsid w:val="2B0C07D4"/>
    <w:rsid w:val="2C4656A4"/>
    <w:rsid w:val="2E604F63"/>
    <w:rsid w:val="2F6916BD"/>
    <w:rsid w:val="326C2300"/>
    <w:rsid w:val="32F3211C"/>
    <w:rsid w:val="33B9293B"/>
    <w:rsid w:val="372C5457"/>
    <w:rsid w:val="3A271EB7"/>
    <w:rsid w:val="3B4C2C28"/>
    <w:rsid w:val="3D0433A8"/>
    <w:rsid w:val="3F5C54AA"/>
    <w:rsid w:val="3F827B63"/>
    <w:rsid w:val="401A783F"/>
    <w:rsid w:val="42E10F7C"/>
    <w:rsid w:val="44077BDE"/>
    <w:rsid w:val="44860416"/>
    <w:rsid w:val="451468F8"/>
    <w:rsid w:val="45C42111"/>
    <w:rsid w:val="45E67A44"/>
    <w:rsid w:val="48A44143"/>
    <w:rsid w:val="4AD625B4"/>
    <w:rsid w:val="4B912803"/>
    <w:rsid w:val="4C0533A9"/>
    <w:rsid w:val="4C1B0B64"/>
    <w:rsid w:val="4D5F163B"/>
    <w:rsid w:val="4FAC5499"/>
    <w:rsid w:val="5319114B"/>
    <w:rsid w:val="537A363B"/>
    <w:rsid w:val="54EF45FD"/>
    <w:rsid w:val="5548152D"/>
    <w:rsid w:val="59251BA8"/>
    <w:rsid w:val="5B0277E1"/>
    <w:rsid w:val="5DE77BC3"/>
    <w:rsid w:val="600C3A71"/>
    <w:rsid w:val="6037369D"/>
    <w:rsid w:val="62042A87"/>
    <w:rsid w:val="66F02C6B"/>
    <w:rsid w:val="67050FF7"/>
    <w:rsid w:val="684C6A1F"/>
    <w:rsid w:val="69EC72A7"/>
    <w:rsid w:val="6B8843B8"/>
    <w:rsid w:val="6BEC5C84"/>
    <w:rsid w:val="6C6770B8"/>
    <w:rsid w:val="6DD93FE6"/>
    <w:rsid w:val="6DF607B7"/>
    <w:rsid w:val="70D671FB"/>
    <w:rsid w:val="72BF43C3"/>
    <w:rsid w:val="74A24F2F"/>
    <w:rsid w:val="75970A0E"/>
    <w:rsid w:val="769B62DC"/>
    <w:rsid w:val="78E46EAA"/>
    <w:rsid w:val="79020895"/>
    <w:rsid w:val="79134951"/>
    <w:rsid w:val="7A737AE0"/>
    <w:rsid w:val="7AEC066A"/>
    <w:rsid w:val="7F453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link w:val="22"/>
    <w:qFormat/>
    <w:uiPriority w:val="9"/>
    <w:pPr>
      <w:keepNext/>
      <w:keepLines/>
      <w:pageBreakBefore/>
      <w:spacing w:before="340" w:after="340" w:line="520" w:lineRule="exact"/>
      <w:outlineLvl w:val="0"/>
    </w:pPr>
    <w:rPr>
      <w:rFonts w:ascii="Times New Roman" w:hAnsi="Times New Roman" w:eastAsia="宋体" w:cs="Times New Roman"/>
      <w:b/>
      <w:bCs/>
      <w:kern w:val="44"/>
      <w:sz w:val="44"/>
      <w:szCs w:val="44"/>
      <w:lang w:val="en-US" w:eastAsia="zh-CN" w:bidi="ar-SA"/>
    </w:rPr>
  </w:style>
  <w:style w:type="paragraph" w:styleId="4">
    <w:name w:val="heading 2"/>
    <w:basedOn w:val="1"/>
    <w:next w:val="1"/>
    <w:qFormat/>
    <w:uiPriority w:val="9"/>
    <w:pPr>
      <w:keepLines/>
      <w:spacing w:before="260" w:after="260"/>
      <w:outlineLvl w:val="1"/>
    </w:pPr>
    <w:rPr>
      <w:b/>
      <w:bCs/>
      <w:sz w:val="36"/>
      <w:szCs w:val="32"/>
    </w:rPr>
  </w:style>
  <w:style w:type="paragraph" w:styleId="5">
    <w:name w:val="heading 3"/>
    <w:basedOn w:val="1"/>
    <w:next w:val="1"/>
    <w:qFormat/>
    <w:uiPriority w:val="9"/>
    <w:pPr>
      <w:keepLines/>
      <w:spacing w:before="260" w:after="260"/>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6">
    <w:name w:val="annotation text"/>
    <w:basedOn w:val="1"/>
    <w:link w:val="25"/>
    <w:qFormat/>
    <w:uiPriority w:val="0"/>
    <w:pPr>
      <w:jc w:val="left"/>
    </w:pPr>
  </w:style>
  <w:style w:type="paragraph" w:styleId="7">
    <w:name w:val="toc 3"/>
    <w:basedOn w:val="1"/>
    <w:next w:val="1"/>
    <w:unhideWhenUsed/>
    <w:qFormat/>
    <w:uiPriority w:val="39"/>
    <w:pPr>
      <w:ind w:left="480"/>
      <w:jc w:val="left"/>
    </w:pPr>
    <w:rPr>
      <w:rFonts w:ascii="Calibri" w:hAnsi="Calibri"/>
      <w:i/>
      <w:iCs/>
      <w:sz w:val="20"/>
      <w:szCs w:val="20"/>
    </w:rPr>
  </w:style>
  <w:style w:type="paragraph" w:styleId="8">
    <w:name w:val="Balloon Text"/>
    <w:basedOn w:val="1"/>
    <w:link w:val="24"/>
    <w:qFormat/>
    <w:uiPriority w:val="0"/>
    <w:rPr>
      <w:sz w:val="18"/>
      <w:szCs w:val="18"/>
    </w:rPr>
  </w:style>
  <w:style w:type="paragraph" w:styleId="9">
    <w:name w:val="footer"/>
    <w:basedOn w:val="1"/>
    <w:unhideWhenUsed/>
    <w:qFormat/>
    <w:uiPriority w:val="99"/>
    <w:pPr>
      <w:tabs>
        <w:tab w:val="center" w:pos="4153"/>
        <w:tab w:val="right" w:pos="8306"/>
      </w:tabs>
      <w:snapToGrid w:val="0"/>
      <w:jc w:val="left"/>
    </w:pPr>
    <w:rPr>
      <w:rFonts w:ascii="Calibri" w:hAnsi="Calibri"/>
      <w:sz w:val="18"/>
      <w:szCs w:val="18"/>
    </w:rPr>
  </w:style>
  <w:style w:type="paragraph" w:styleId="10">
    <w:name w:val="header"/>
    <w:basedOn w:val="1"/>
    <w:unhideWhenUsed/>
    <w:qFormat/>
    <w:uiPriority w:val="0"/>
    <w:pPr>
      <w:tabs>
        <w:tab w:val="center" w:pos="4153"/>
        <w:tab w:val="right" w:pos="8306"/>
      </w:tabs>
      <w:snapToGrid w:val="0"/>
      <w:jc w:val="center"/>
    </w:pPr>
    <w:rPr>
      <w:rFonts w:ascii="Calibri" w:hAnsi="Calibri"/>
      <w:sz w:val="18"/>
      <w:szCs w:val="18"/>
    </w:rPr>
  </w:style>
  <w:style w:type="paragraph" w:styleId="11">
    <w:name w:val="toc 1"/>
    <w:basedOn w:val="1"/>
    <w:next w:val="1"/>
    <w:unhideWhenUsed/>
    <w:qFormat/>
    <w:uiPriority w:val="39"/>
    <w:pPr>
      <w:spacing w:before="120" w:after="120"/>
      <w:jc w:val="left"/>
    </w:pPr>
    <w:rPr>
      <w:rFonts w:ascii="Calibri" w:hAnsi="Calibri"/>
      <w:b/>
      <w:bCs/>
      <w:caps/>
      <w:sz w:val="20"/>
      <w:szCs w:val="20"/>
    </w:rPr>
  </w:style>
  <w:style w:type="paragraph" w:styleId="12">
    <w:name w:val="toc 2"/>
    <w:basedOn w:val="1"/>
    <w:next w:val="1"/>
    <w:unhideWhenUsed/>
    <w:qFormat/>
    <w:uiPriority w:val="39"/>
    <w:pPr>
      <w:ind w:left="240"/>
      <w:jc w:val="left"/>
    </w:pPr>
    <w:rPr>
      <w:rFonts w:ascii="Calibri" w:hAnsi="Calibri"/>
      <w:smallCaps/>
      <w:sz w:val="20"/>
      <w:szCs w:val="20"/>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annotation subject"/>
    <w:basedOn w:val="6"/>
    <w:next w:val="6"/>
    <w:link w:val="26"/>
    <w:qFormat/>
    <w:uiPriority w:val="0"/>
    <w:rPr>
      <w:b/>
      <w:bCs/>
    </w:rPr>
  </w:style>
  <w:style w:type="character" w:styleId="17">
    <w:name w:val="Hyperlink"/>
    <w:unhideWhenUsed/>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_Style 2"/>
    <w:basedOn w:val="3"/>
    <w:next w:val="1"/>
    <w:qFormat/>
    <w:uiPriority w:val="39"/>
    <w:pPr>
      <w:spacing w:before="0" w:after="0" w:line="276" w:lineRule="auto"/>
      <w:outlineLvl w:val="9"/>
    </w:pPr>
    <w:rPr>
      <w:rFonts w:ascii="Cambria" w:hAnsi="Cambria"/>
      <w:color w:val="365F91"/>
      <w:kern w:val="0"/>
      <w:sz w:val="28"/>
      <w:szCs w:val="28"/>
    </w:rPr>
  </w:style>
  <w:style w:type="paragraph" w:customStyle="1" w:styleId="20">
    <w:name w:val="正文w"/>
    <w:basedOn w:val="21"/>
    <w:qFormat/>
    <w:uiPriority w:val="0"/>
    <w:pPr>
      <w:overflowPunct w:val="0"/>
      <w:topLinePunct/>
      <w:spacing w:before="0" w:beforeLines="0" w:after="0" w:afterLines="0" w:line="500" w:lineRule="exact"/>
    </w:pPr>
    <w:rPr>
      <w:rFonts w:ascii="Times New Roman" w:hAnsi="Times New Roman" w:cs="Times New Roman"/>
    </w:rPr>
  </w:style>
  <w:style w:type="paragraph" w:customStyle="1" w:styleId="21">
    <w:name w:val="样式 宋体 小四 行距: 1.5 倍行距2"/>
    <w:basedOn w:val="1"/>
    <w:qFormat/>
    <w:uiPriority w:val="0"/>
    <w:pPr>
      <w:spacing w:before="20" w:beforeLines="20" w:after="20" w:afterLines="20" w:line="360" w:lineRule="auto"/>
      <w:ind w:firstLine="200" w:firstLineChars="200"/>
    </w:pPr>
    <w:rPr>
      <w:rFonts w:ascii="宋体" w:hAnsi="宋体" w:cs="宋体"/>
      <w:sz w:val="24"/>
      <w:szCs w:val="20"/>
    </w:rPr>
  </w:style>
  <w:style w:type="character" w:customStyle="1" w:styleId="22">
    <w:name w:val="标题 1 字符"/>
    <w:link w:val="3"/>
    <w:qFormat/>
    <w:uiPriority w:val="9"/>
    <w:rPr>
      <w:rFonts w:ascii="Times New Roman" w:hAnsi="Times New Roman" w:eastAsia="宋体" w:cs="Times New Roman"/>
      <w:b/>
      <w:bCs/>
      <w:kern w:val="44"/>
      <w:sz w:val="44"/>
      <w:szCs w:val="44"/>
      <w:lang w:val="en-US" w:eastAsia="zh-CN" w:bidi="ar-SA"/>
    </w:rPr>
  </w:style>
  <w:style w:type="character" w:customStyle="1" w:styleId="23">
    <w:name w:val="bjh-p"/>
    <w:qFormat/>
    <w:uiPriority w:val="0"/>
  </w:style>
  <w:style w:type="character" w:customStyle="1" w:styleId="24">
    <w:name w:val="批注框文本 字符"/>
    <w:basedOn w:val="16"/>
    <w:link w:val="8"/>
    <w:qFormat/>
    <w:uiPriority w:val="0"/>
    <w:rPr>
      <w:rFonts w:asciiTheme="minorHAnsi" w:hAnsiTheme="minorHAnsi" w:eastAsiaTheme="minorEastAsia" w:cstheme="minorBidi"/>
      <w:kern w:val="2"/>
      <w:sz w:val="18"/>
      <w:szCs w:val="18"/>
    </w:rPr>
  </w:style>
  <w:style w:type="character" w:customStyle="1" w:styleId="25">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6">
    <w:name w:val="批注主题 字符"/>
    <w:basedOn w:val="25"/>
    <w:link w:val="14"/>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7D9AE9-E5F4-48EB-B616-C7D7232930D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200</Words>
  <Characters>228</Characters>
  <Lines>137</Lines>
  <Paragraphs>101</Paragraphs>
  <TotalTime>0</TotalTime>
  <ScaleCrop>false</ScaleCrop>
  <LinksUpToDate>false</LinksUpToDate>
  <CharactersWithSpaces>247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2022-04-19T01:00:00Z</dcterms:created>
  <dc:creator>李立新</dc:creator>
  <cp:lastModifiedBy>终是青灯伴余生</cp:lastModifiedBy>
  <dcterms:modified xsi:type="dcterms:W3CDTF">2025-05-28T00:55:21Z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33A4C269DB8648E1BA0CE364A14DD298</vt:lpwstr>
  </property>
  <property fmtid="{D5CDD505-2E9C-101B-9397-08002B2CF9AE}" pid="4" name="KSOTemplateDocerSaveRecord">
    <vt:lpwstr>eyJoZGlkIjoiNDhkMmRmOWU0OGI5NDM3NTJhNjEzMjcyMjQ5NDFkYWQiLCJ1c2VySWQiOiI0MTk2MjM1ODUifQ==</vt:lpwstr>
  </property>
</Properties>
</file>