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val="0"/>
        <w:spacing w:line="600" w:lineRule="exact"/>
        <w:jc w:val="both"/>
        <w:textAlignment w:val="auto"/>
        <w:rPr>
          <w:rFonts w:hint="eastAsia" w:ascii="方正小标宋简体" w:hAnsi="Calibri" w:eastAsia="方正小标宋简体" w:cs="黑体"/>
          <w:b w:val="0"/>
          <w:bCs w:val="0"/>
          <w:sz w:val="44"/>
          <w:szCs w:val="44"/>
          <w:lang w:val="en-US" w:eastAsia="zh-CN"/>
        </w:rPr>
      </w:pPr>
    </w:p>
    <w:p>
      <w:pPr>
        <w:widowControl w:val="0"/>
        <w:wordWrap/>
        <w:adjustRightInd/>
        <w:snapToGrid w:val="0"/>
        <w:spacing w:line="600" w:lineRule="exact"/>
        <w:jc w:val="center"/>
        <w:textAlignment w:val="auto"/>
        <w:rPr>
          <w:rFonts w:hint="eastAsia" w:ascii="方正小标宋简体" w:hAnsi="Calibri" w:eastAsia="方正小标宋简体" w:cs="黑体"/>
          <w:b w:val="0"/>
          <w:bCs w:val="0"/>
          <w:sz w:val="44"/>
          <w:szCs w:val="44"/>
          <w:lang w:val="en-US" w:eastAsia="zh-CN"/>
        </w:rPr>
      </w:pPr>
    </w:p>
    <w:p>
      <w:pPr>
        <w:widowControl w:val="0"/>
        <w:wordWrap/>
        <w:adjustRightInd/>
        <w:snapToGrid w:val="0"/>
        <w:spacing w:line="600" w:lineRule="exact"/>
        <w:jc w:val="center"/>
        <w:textAlignment w:val="auto"/>
        <w:rPr>
          <w:rFonts w:hint="eastAsia" w:ascii="方正小标宋简体" w:hAnsi="Calibri" w:eastAsia="方正小标宋简体" w:cs="黑体"/>
          <w:b w:val="0"/>
          <w:bCs w:val="0"/>
          <w:sz w:val="44"/>
          <w:szCs w:val="44"/>
          <w:lang w:eastAsia="zh-CN"/>
        </w:rPr>
      </w:pPr>
      <w:r>
        <w:rPr>
          <w:rFonts w:hint="eastAsia" w:ascii="方正小标宋简体" w:hAnsi="Calibri" w:eastAsia="方正小标宋简体" w:cs="黑体"/>
          <w:b w:val="0"/>
          <w:bCs w:val="0"/>
          <w:sz w:val="44"/>
          <w:szCs w:val="44"/>
          <w:lang w:val="en-US" w:eastAsia="zh-CN"/>
        </w:rPr>
        <w:t>关于《</w:t>
      </w:r>
      <w:r>
        <w:rPr>
          <w:rFonts w:hint="eastAsia" w:ascii="方正小标宋简体" w:hAnsi="Calibri" w:eastAsia="方正小标宋简体" w:cs="黑体"/>
          <w:b w:val="0"/>
          <w:bCs w:val="0"/>
          <w:sz w:val="44"/>
          <w:szCs w:val="44"/>
        </w:rPr>
        <w:t>黑龙江省关于推进生态环境损害赔偿制度改革若干具体问题的</w:t>
      </w:r>
      <w:r>
        <w:rPr>
          <w:rFonts w:hint="eastAsia" w:ascii="方正小标宋简体" w:eastAsia="方正小标宋简体" w:cs="黑体"/>
          <w:b w:val="0"/>
          <w:bCs w:val="0"/>
          <w:sz w:val="44"/>
          <w:szCs w:val="44"/>
          <w:lang w:val="en-US" w:eastAsia="zh-CN"/>
        </w:rPr>
        <w:t>实施</w:t>
      </w:r>
      <w:r>
        <w:rPr>
          <w:rFonts w:hint="eastAsia" w:ascii="方正小标宋简体" w:hAnsi="Calibri" w:eastAsia="方正小标宋简体" w:cs="黑体"/>
          <w:b w:val="0"/>
          <w:bCs w:val="0"/>
          <w:sz w:val="44"/>
          <w:szCs w:val="44"/>
        </w:rPr>
        <w:t>意见</w:t>
      </w:r>
      <w:r>
        <w:rPr>
          <w:rFonts w:hint="eastAsia" w:ascii="方正小标宋简体" w:hAnsi="Calibri" w:eastAsia="方正小标宋简体" w:cs="黑体"/>
          <w:b w:val="0"/>
          <w:bCs w:val="0"/>
          <w:sz w:val="44"/>
          <w:szCs w:val="44"/>
          <w:lang w:eastAsia="zh-CN"/>
        </w:rPr>
        <w:t>》</w:t>
      </w:r>
    </w:p>
    <w:p>
      <w:pPr>
        <w:widowControl w:val="0"/>
        <w:wordWrap/>
        <w:adjustRightInd/>
        <w:snapToGrid w:val="0"/>
        <w:spacing w:line="600" w:lineRule="exact"/>
        <w:jc w:val="center"/>
        <w:textAlignment w:val="auto"/>
        <w:rPr>
          <w:rFonts w:hint="default" w:ascii="方正小标宋简体" w:hAnsi="Calibri" w:eastAsia="方正小标宋简体" w:cs="黑体"/>
          <w:b w:val="0"/>
          <w:bCs w:val="0"/>
          <w:sz w:val="44"/>
          <w:szCs w:val="44"/>
          <w:lang w:val="en-US" w:eastAsia="zh-CN"/>
        </w:rPr>
      </w:pPr>
      <w:r>
        <w:rPr>
          <w:rFonts w:hint="eastAsia" w:ascii="方正小标宋简体" w:hAnsi="Calibri" w:eastAsia="方正小标宋简体" w:cs="黑体"/>
          <w:b w:val="0"/>
          <w:bCs w:val="0"/>
          <w:sz w:val="44"/>
          <w:szCs w:val="44"/>
          <w:lang w:val="en-US" w:eastAsia="zh-CN"/>
        </w:rPr>
        <w:t>的起草说明</w:t>
      </w:r>
    </w:p>
    <w:p>
      <w:pPr>
        <w:widowControl w:val="0"/>
        <w:wordWrap/>
        <w:adjustRightInd/>
        <w:snapToGrid w:val="0"/>
        <w:spacing w:line="600" w:lineRule="exact"/>
        <w:jc w:val="both"/>
        <w:textAlignment w:val="auto"/>
        <w:rPr>
          <w:sz w:val="44"/>
          <w:szCs w:val="44"/>
        </w:rPr>
      </w:pPr>
    </w:p>
    <w:p>
      <w:pPr>
        <w:widowControl w:val="0"/>
        <w:wordWrap/>
        <w:adjustRightInd/>
        <w:snapToGrid w:val="0"/>
        <w:spacing w:line="600" w:lineRule="exact"/>
        <w:jc w:val="both"/>
        <w:textAlignment w:val="auto"/>
      </w:pPr>
    </w:p>
    <w:p>
      <w:pPr>
        <w:widowControl w:val="0"/>
        <w:numPr>
          <w:numId w:val="0"/>
        </w:numPr>
        <w:wordWrap/>
        <w:adjustRightInd/>
        <w:snapToGrid w:val="0"/>
        <w:spacing w:line="600" w:lineRule="exact"/>
        <w:jc w:val="both"/>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 xml:space="preserve">    一、起草背景及依据</w:t>
      </w:r>
    </w:p>
    <w:p>
      <w:pPr>
        <w:widowControl w:val="0"/>
        <w:numPr>
          <w:numId w:val="0"/>
        </w:numPr>
        <w:wordWrap/>
        <w:adjustRightInd/>
        <w:snapToGrid w:val="0"/>
        <w:spacing w:line="600" w:lineRule="exact"/>
        <w:ind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（一）起草背景</w:t>
      </w:r>
    </w:p>
    <w:p>
      <w:pPr>
        <w:widowControl w:val="0"/>
        <w:wordWrap/>
        <w:adjustRightInd/>
        <w:snapToGrid w:val="0"/>
        <w:spacing w:line="60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2017年12月，中共中央办公厅、国务院办公厅印发</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"http://www.gov.cn/zhengce/2017-12/17/content_5247952.htm" \t "http://www.gov.cn/zhengce/2017-12/17/_blank"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《生态环境损害赔偿制度改革方案》</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中办发[2017068号），明确自2018年1月1日起，在全国试行生态环境损害赔偿制度。为切实做好生态环境损害赔偿制度改革工作，黑龙江省委办公厅、黑龙江省人民政府办公厅于2018年5月出台了《黑龙江省生态环境损害赔偿制度改革实施意见（试行）》（黑办发[2018]29号）。2020年9月，为</w:t>
      </w:r>
      <w:r>
        <w:rPr>
          <w:rFonts w:hint="eastAsia" w:ascii="仿宋" w:hAnsi="仿宋" w:eastAsia="仿宋" w:cs="仿宋"/>
          <w:i w:val="0"/>
          <w:caps w:val="0"/>
          <w:color w:val="000000"/>
          <w:spacing w:val="0"/>
          <w:sz w:val="32"/>
          <w:szCs w:val="32"/>
          <w:shd w:val="clear" w:color="070000" w:fill="FFFFFF"/>
        </w:rPr>
        <w:t>加强对改革工作的业务指导，</w:t>
      </w:r>
      <w:r>
        <w:rPr>
          <w:rFonts w:hint="eastAsia" w:ascii="仿宋" w:hAnsi="仿宋" w:eastAsia="仿宋" w:cs="仿宋"/>
          <w:i w:val="0"/>
          <w:caps w:val="0"/>
          <w:color w:val="333333"/>
          <w:spacing w:val="0"/>
          <w:sz w:val="32"/>
          <w:szCs w:val="32"/>
          <w:shd w:val="clear" w:color="070000" w:fill="FFFFFF"/>
        </w:rPr>
        <w:t>针对地方开展生态环境损害赔偿工作遇到的实际问题</w:t>
      </w:r>
      <w:r>
        <w:rPr>
          <w:rFonts w:hint="eastAsia" w:ascii="仿宋" w:hAnsi="仿宋" w:eastAsia="仿宋" w:cs="仿宋"/>
          <w:i w:val="0"/>
          <w:caps w:val="0"/>
          <w:color w:val="000000"/>
          <w:spacing w:val="0"/>
          <w:sz w:val="32"/>
          <w:szCs w:val="32"/>
          <w:shd w:val="clear" w:color="070000" w:fill="FFFFFF"/>
        </w:rPr>
        <w:t>，</w:t>
      </w:r>
      <w:r>
        <w:rPr>
          <w:rFonts w:hint="eastAsia" w:ascii="仿宋" w:hAnsi="仿宋" w:eastAsia="仿宋" w:cs="仿宋"/>
          <w:sz w:val="32"/>
          <w:szCs w:val="32"/>
          <w:lang w:val="en-US" w:eastAsia="zh-CN"/>
        </w:rPr>
        <w:t>生态环境部等11部门制定了《</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"http://www.mee.gov.cn/xxgk2018/xxgk/xxgk03/202009/W020200911527273209513.pdf"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关于推进生态环境损害赔偿制度改革若干具体问题的意见</w:t>
      </w:r>
      <w:r>
        <w:rPr>
          <w:rFonts w:hint="eastAsia" w:ascii="仿宋" w:hAnsi="仿宋" w:eastAsia="仿宋" w:cs="仿宋"/>
          <w:sz w:val="32"/>
          <w:szCs w:val="32"/>
          <w:lang w:val="en-US" w:eastAsia="zh-CN"/>
        </w:rPr>
        <w:fldChar w:fldCharType="end"/>
      </w:r>
      <w:r>
        <w:rPr>
          <w:rFonts w:hint="eastAsia" w:ascii="仿宋" w:hAnsi="仿宋" w:eastAsia="仿宋" w:cs="仿宋"/>
          <w:i w:val="0"/>
          <w:caps w:val="0"/>
          <w:color w:val="000000"/>
          <w:spacing w:val="0"/>
          <w:sz w:val="32"/>
          <w:szCs w:val="32"/>
          <w:shd w:val="clear" w:color="070000" w:fill="FFFFFF"/>
        </w:rPr>
        <w:t>》</w:t>
      </w:r>
      <w:r>
        <w:rPr>
          <w:rFonts w:hint="eastAsia" w:ascii="仿宋" w:hAnsi="仿宋" w:eastAsia="仿宋" w:cs="仿宋"/>
          <w:i w:val="0"/>
          <w:caps w:val="0"/>
          <w:color w:val="000000"/>
          <w:spacing w:val="0"/>
          <w:sz w:val="32"/>
          <w:szCs w:val="32"/>
          <w:shd w:val="clear" w:color="070000" w:fill="FFFFFF"/>
          <w:lang w:eastAsia="zh-CN"/>
        </w:rPr>
        <w:t>（</w:t>
      </w:r>
      <w:r>
        <w:rPr>
          <w:rFonts w:hint="eastAsia" w:ascii="仿宋" w:hAnsi="仿宋" w:eastAsia="仿宋" w:cs="仿宋"/>
          <w:i w:val="0"/>
          <w:caps w:val="0"/>
          <w:color w:val="000000"/>
          <w:spacing w:val="0"/>
          <w:sz w:val="32"/>
          <w:szCs w:val="32"/>
          <w:shd w:val="clear" w:color="070000" w:fill="FFFFFF"/>
        </w:rPr>
        <w:t>环法规〔2020〕44号</w:t>
      </w:r>
      <w:r>
        <w:rPr>
          <w:rFonts w:hint="eastAsia" w:ascii="仿宋" w:hAnsi="仿宋" w:eastAsia="仿宋" w:cs="仿宋"/>
          <w:i w:val="0"/>
          <w:caps w:val="0"/>
          <w:color w:val="000000"/>
          <w:spacing w:val="0"/>
          <w:sz w:val="32"/>
          <w:szCs w:val="32"/>
          <w:shd w:val="clear" w:color="070000" w:fill="FFFFFF"/>
          <w:lang w:eastAsia="zh-CN"/>
        </w:rPr>
        <w:t>）。</w:t>
      </w:r>
      <w:r>
        <w:rPr>
          <w:rFonts w:hint="eastAsia" w:ascii="仿宋" w:hAnsi="仿宋" w:eastAsia="仿宋" w:cs="仿宋"/>
          <w:i w:val="0"/>
          <w:caps w:val="0"/>
          <w:color w:val="000000"/>
          <w:spacing w:val="0"/>
          <w:sz w:val="32"/>
          <w:szCs w:val="32"/>
          <w:shd w:val="clear" w:color="070000" w:fill="FFFFFF"/>
          <w:lang w:val="en-US" w:eastAsia="zh-CN"/>
        </w:rPr>
        <w:t>根据国家有关工作部署，更好地规范我省生态环境损害赔偿制度，我厅起草了</w:t>
      </w:r>
      <w:r>
        <w:rPr>
          <w:rFonts w:hint="eastAsia" w:ascii="仿宋" w:hAnsi="仿宋" w:eastAsia="仿宋" w:cs="仿宋"/>
          <w:sz w:val="32"/>
          <w:szCs w:val="32"/>
          <w:lang w:val="en-US" w:eastAsia="zh-CN"/>
        </w:rPr>
        <w:t>《黑龙江省关于推进生态环境损害赔偿制度改革若干具体问题的实施意见》（以下简称《实施意见》），旨在进一步保障和规范我省生态环境损害赔偿的权利义务主体、启动条件、调查、磋商诉讼、生态环境修复等方面工作，构建我省责任明确、途径畅通、技术规范、保障有力、赔偿到位、修复有效的生态环境损害赔偿制度。</w:t>
      </w:r>
    </w:p>
    <w:p>
      <w:pPr>
        <w:widowControl w:val="0"/>
        <w:numPr>
          <w:ilvl w:val="0"/>
          <w:numId w:val="1"/>
        </w:numPr>
        <w:wordWrap/>
        <w:adjustRightInd/>
        <w:snapToGrid w:val="0"/>
        <w:spacing w:line="60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起草依据</w:t>
      </w:r>
    </w:p>
    <w:p>
      <w:pPr>
        <w:widowControl w:val="0"/>
        <w:wordWrap/>
        <w:adjustRightInd/>
        <w:snapToGrid w:val="0"/>
        <w:spacing w:line="600" w:lineRule="exact"/>
        <w:ind w:firstLine="640"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"http://www.mee.gov.cn/xxgk2018/xxgk/xxgk03/202009/W020200911527273209513.pdf"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关于推进生态环境损害赔偿制度改革若干具体问题的意见</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》（环法规〔2020〕44号）</w:t>
      </w:r>
    </w:p>
    <w:p>
      <w:pPr>
        <w:widowControl w:val="0"/>
        <w:wordWrap/>
        <w:adjustRightInd/>
        <w:snapToGrid w:val="0"/>
        <w:spacing w:line="60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2、《黑龙江省生态环境损害赔偿制度改革实施意见（试行）》（黑办发[2018]29号）</w:t>
      </w:r>
    </w:p>
    <w:p>
      <w:pPr>
        <w:widowControl w:val="0"/>
        <w:wordWrap/>
        <w:adjustRightInd/>
        <w:snapToGrid w:val="0"/>
        <w:spacing w:line="60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3、《黑龙江省生态环境损害赔偿资金管理办法(试行)》（黑财规审[2018]28号）</w:t>
      </w:r>
    </w:p>
    <w:p>
      <w:pPr>
        <w:widowControl w:val="0"/>
        <w:wordWrap/>
        <w:adjustRightInd/>
        <w:snapToGrid w:val="0"/>
        <w:spacing w:line="60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4、《黑龙江省生态环境损害赔偿工作办法》《黑龙江省生态环境损害赔偿磋商办法》</w:t>
      </w:r>
    </w:p>
    <w:p>
      <w:pPr>
        <w:widowControl w:val="0"/>
        <w:wordWrap/>
        <w:adjustRightInd/>
        <w:snapToGrid w:val="0"/>
        <w:spacing w:line="600" w:lineRule="exact"/>
        <w:ind w:firstLine="640"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5、《黑龙江省生态环境损害修复后评估验收管理办法》</w:t>
      </w:r>
    </w:p>
    <w:p>
      <w:pPr>
        <w:widowControl w:val="0"/>
        <w:numPr>
          <w:numId w:val="0"/>
        </w:numPr>
        <w:wordWrap/>
        <w:adjustRightInd/>
        <w:snapToGrid w:val="0"/>
        <w:spacing w:line="600" w:lineRule="exact"/>
        <w:jc w:val="both"/>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 xml:space="preserve">    二、主要内容</w:t>
      </w:r>
    </w:p>
    <w:p>
      <w:pPr>
        <w:widowControl w:val="0"/>
        <w:wordWrap/>
        <w:adjustRightInd/>
        <w:snapToGrid w:val="0"/>
        <w:spacing w:line="60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实施意见》与国家基本保持一致，在国家意见的基础上，对生态环境损害案件线索、索赔启动条件、调查评估、磋商和诉讼规则、修复评估等内容做了进一步的细化明确。《若干意见》包括指导思想、具体问题和保障措施三个部分。</w:t>
      </w:r>
    </w:p>
    <w:p>
      <w:pPr>
        <w:widowControl w:val="0"/>
        <w:wordWrap/>
        <w:adjustRightInd/>
        <w:snapToGrid w:val="0"/>
        <w:spacing w:line="600" w:lineRule="exact"/>
        <w:ind w:firstLine="643" w:firstLineChars="200"/>
        <w:jc w:val="both"/>
        <w:textAlignment w:val="auto"/>
        <w:outlineLvl w:val="9"/>
        <w:rPr>
          <w:rFonts w:hint="eastAsia" w:ascii="仿宋" w:hAnsi="仿宋" w:eastAsia="仿宋" w:cs="仿宋"/>
          <w:b/>
          <w:bCs/>
          <w:color w:val="333333"/>
          <w:sz w:val="32"/>
          <w:szCs w:val="32"/>
          <w:lang w:eastAsia="zh-CN"/>
        </w:rPr>
      </w:pPr>
      <w:r>
        <w:rPr>
          <w:rFonts w:hint="eastAsia" w:ascii="仿宋" w:hAnsi="仿宋" w:eastAsia="仿宋" w:cs="仿宋"/>
          <w:b/>
          <w:bCs/>
          <w:color w:val="333333"/>
          <w:sz w:val="32"/>
          <w:szCs w:val="32"/>
          <w:lang w:val="en-US" w:eastAsia="zh-CN"/>
        </w:rPr>
        <w:t>（一）指导思想</w:t>
      </w:r>
    </w:p>
    <w:p>
      <w:pPr>
        <w:widowControl w:val="0"/>
        <w:numPr>
          <w:numId w:val="0"/>
        </w:numPr>
        <w:wordWrap/>
        <w:adjustRightInd/>
        <w:snapToGrid w:val="0"/>
        <w:spacing w:line="600" w:lineRule="exact"/>
        <w:ind w:firstLine="640" w:firstLineChars="200"/>
        <w:jc w:val="both"/>
        <w:textAlignment w:val="auto"/>
        <w:outlineLvl w:val="9"/>
        <w:rPr>
          <w:rFonts w:hint="eastAsia" w:ascii="仿宋" w:hAnsi="仿宋" w:eastAsia="仿宋" w:cs="仿宋"/>
          <w:color w:val="333333"/>
          <w:sz w:val="32"/>
          <w:szCs w:val="32"/>
          <w:lang w:eastAsia="zh-CN"/>
        </w:rPr>
      </w:pPr>
      <w:r>
        <w:rPr>
          <w:rFonts w:hint="eastAsia" w:ascii="仿宋" w:hAnsi="仿宋" w:eastAsia="仿宋" w:cs="仿宋"/>
          <w:color w:val="333333"/>
          <w:sz w:val="32"/>
          <w:szCs w:val="32"/>
        </w:rPr>
        <w:t>以习近平生态文明思想为指导，深入贯彻落实党中央和省委省政府关于生态环境损害赔偿制度改革工作的决策部署，切实履行政府生态环境保护职责</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工作原则是</w:t>
      </w:r>
      <w:r>
        <w:rPr>
          <w:rFonts w:hint="eastAsia" w:ascii="仿宋" w:hAnsi="仿宋" w:eastAsia="仿宋" w:cs="仿宋"/>
          <w:color w:val="333333"/>
          <w:sz w:val="32"/>
          <w:szCs w:val="32"/>
        </w:rPr>
        <w:t>“</w:t>
      </w:r>
      <w:r>
        <w:rPr>
          <w:rFonts w:ascii="仿宋" w:hAnsi="仿宋" w:eastAsia="仿宋" w:cs="仿宋"/>
          <w:color w:val="333333"/>
          <w:sz w:val="32"/>
          <w:szCs w:val="32"/>
        </w:rPr>
        <w:t>依法推进</w:t>
      </w:r>
      <w:r>
        <w:rPr>
          <w:rFonts w:hint="eastAsia" w:ascii="仿宋" w:hAnsi="仿宋" w:eastAsia="仿宋" w:cs="仿宋"/>
          <w:color w:val="333333"/>
          <w:sz w:val="32"/>
          <w:szCs w:val="32"/>
        </w:rPr>
        <w:t>、</w:t>
      </w:r>
      <w:r>
        <w:rPr>
          <w:rFonts w:ascii="仿宋" w:hAnsi="仿宋" w:eastAsia="仿宋" w:cs="仿宋"/>
          <w:color w:val="333333"/>
          <w:sz w:val="32"/>
          <w:szCs w:val="32"/>
        </w:rPr>
        <w:t>损害担责</w:t>
      </w:r>
      <w:r>
        <w:rPr>
          <w:rFonts w:hint="eastAsia" w:ascii="仿宋" w:hAnsi="仿宋" w:eastAsia="仿宋" w:cs="仿宋"/>
          <w:color w:val="333333"/>
          <w:sz w:val="32"/>
          <w:szCs w:val="32"/>
        </w:rPr>
        <w:t>、</w:t>
      </w:r>
      <w:r>
        <w:rPr>
          <w:rFonts w:ascii="仿宋" w:hAnsi="仿宋" w:eastAsia="仿宋" w:cs="仿宋"/>
          <w:color w:val="333333"/>
          <w:sz w:val="32"/>
          <w:szCs w:val="32"/>
        </w:rPr>
        <w:t>主动磋商</w:t>
      </w:r>
      <w:r>
        <w:rPr>
          <w:rFonts w:hint="eastAsia" w:ascii="仿宋" w:hAnsi="仿宋" w:eastAsia="仿宋" w:cs="仿宋"/>
          <w:color w:val="333333"/>
          <w:sz w:val="32"/>
          <w:szCs w:val="32"/>
        </w:rPr>
        <w:t>、公众监督”</w:t>
      </w:r>
      <w:r>
        <w:rPr>
          <w:rFonts w:hint="eastAsia" w:ascii="仿宋" w:hAnsi="仿宋" w:eastAsia="仿宋" w:cs="仿宋"/>
          <w:color w:val="333333"/>
          <w:sz w:val="32"/>
          <w:szCs w:val="32"/>
          <w:lang w:eastAsia="zh-CN"/>
        </w:rPr>
        <w:t>。</w:t>
      </w:r>
    </w:p>
    <w:p>
      <w:pPr>
        <w:widowControl w:val="0"/>
        <w:numPr>
          <w:numId w:val="0"/>
        </w:numPr>
        <w:wordWrap/>
        <w:adjustRightInd/>
        <w:snapToGrid w:val="0"/>
        <w:spacing w:line="600" w:lineRule="exact"/>
        <w:ind w:firstLine="643" w:firstLineChars="200"/>
        <w:jc w:val="both"/>
        <w:textAlignment w:val="auto"/>
        <w:outlineLvl w:val="9"/>
        <w:rPr>
          <w:rFonts w:hint="eastAsia" w:ascii="仿宋" w:hAnsi="仿宋" w:eastAsia="仿宋" w:cs="仿宋"/>
          <w:b/>
          <w:bCs/>
          <w:color w:val="333333"/>
          <w:sz w:val="32"/>
          <w:szCs w:val="32"/>
          <w:lang w:val="en-US" w:eastAsia="zh-CN"/>
        </w:rPr>
      </w:pPr>
      <w:r>
        <w:rPr>
          <w:rFonts w:hint="eastAsia" w:ascii="仿宋" w:hAnsi="仿宋" w:eastAsia="仿宋" w:cs="仿宋"/>
          <w:b/>
          <w:bCs/>
          <w:color w:val="333333"/>
          <w:sz w:val="32"/>
          <w:szCs w:val="32"/>
          <w:lang w:val="en-US" w:eastAsia="zh-CN"/>
        </w:rPr>
        <w:t>（二）具体问题</w:t>
      </w:r>
    </w:p>
    <w:p>
      <w:pPr>
        <w:widowControl w:val="0"/>
        <w:wordWrap/>
        <w:adjustRightInd/>
        <w:snapToGrid w:val="0"/>
        <w:spacing w:line="600" w:lineRule="exact"/>
        <w:ind w:firstLine="643" w:firstLineChars="200"/>
        <w:jc w:val="both"/>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一是明确</w:t>
      </w:r>
      <w:r>
        <w:rPr>
          <w:rFonts w:hint="eastAsia" w:ascii="仿宋" w:hAnsi="仿宋" w:eastAsia="仿宋" w:cs="仿宋"/>
          <w:b/>
          <w:bCs/>
          <w:sz w:val="32"/>
          <w:szCs w:val="32"/>
        </w:rPr>
        <w:t>具体负责工作的部门或机</w:t>
      </w:r>
      <w:r>
        <w:rPr>
          <w:rFonts w:hint="eastAsia" w:ascii="仿宋" w:hAnsi="仿宋" w:eastAsia="仿宋" w:cs="仿宋"/>
          <w:b/>
          <w:bCs/>
          <w:color w:val="333333"/>
          <w:sz w:val="32"/>
          <w:szCs w:val="32"/>
        </w:rPr>
        <w:t>构</w:t>
      </w:r>
      <w:r>
        <w:rPr>
          <w:rFonts w:hint="eastAsia" w:ascii="仿宋" w:hAnsi="仿宋" w:eastAsia="仿宋" w:cs="仿宋"/>
          <w:b/>
          <w:bCs/>
          <w:color w:val="333333"/>
          <w:sz w:val="32"/>
          <w:szCs w:val="32"/>
          <w:lang w:eastAsia="zh-CN"/>
        </w:rPr>
        <w:t>。</w:t>
      </w:r>
      <w:r>
        <w:rPr>
          <w:rFonts w:hint="eastAsia" w:ascii="仿宋" w:hAnsi="仿宋" w:eastAsia="仿宋" w:cs="仿宋"/>
          <w:color w:val="333333"/>
          <w:sz w:val="32"/>
          <w:szCs w:val="32"/>
        </w:rPr>
        <w:t>明确赔</w:t>
      </w:r>
      <w:r>
        <w:rPr>
          <w:rFonts w:hint="eastAsia" w:ascii="仿宋" w:hAnsi="仿宋" w:eastAsia="仿宋" w:cs="仿宋"/>
          <w:sz w:val="32"/>
          <w:szCs w:val="32"/>
        </w:rPr>
        <w:t>偿权利人指定自然资源、生态环境、水利、农业农村、林业和草原等相关部门或机构</w:t>
      </w:r>
      <w:r>
        <w:rPr>
          <w:rFonts w:hint="eastAsia" w:ascii="仿宋" w:hAnsi="仿宋" w:eastAsia="仿宋" w:cs="仿宋"/>
          <w:sz w:val="32"/>
          <w:szCs w:val="32"/>
          <w:lang w:eastAsia="zh-CN"/>
        </w:rPr>
        <w:t>。</w:t>
      </w:r>
      <w:r>
        <w:rPr>
          <w:rFonts w:hint="eastAsia" w:ascii="仿宋" w:hAnsi="仿宋" w:eastAsia="仿宋" w:cs="仿宋"/>
          <w:sz w:val="32"/>
          <w:szCs w:val="32"/>
        </w:rPr>
        <w:t>案件涉及多个部门或机构的，由赔偿权利人指定牵头部门，组建联合工作组</w:t>
      </w:r>
      <w:r>
        <w:rPr>
          <w:rFonts w:hint="eastAsia" w:ascii="仿宋" w:hAnsi="仿宋" w:eastAsia="仿宋" w:cs="仿宋"/>
          <w:sz w:val="32"/>
          <w:szCs w:val="32"/>
          <w:lang w:eastAsia="zh-CN"/>
        </w:rPr>
        <w:t>。</w:t>
      </w:r>
    </w:p>
    <w:p>
      <w:pPr>
        <w:widowControl w:val="0"/>
        <w:wordWrap/>
        <w:adjustRightInd/>
        <w:snapToGrid w:val="0"/>
        <w:spacing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二是明确</w:t>
      </w:r>
      <w:r>
        <w:rPr>
          <w:rFonts w:hint="eastAsia" w:ascii="仿宋" w:hAnsi="仿宋" w:eastAsia="仿宋" w:cs="仿宋"/>
          <w:b/>
          <w:bCs/>
          <w:sz w:val="32"/>
          <w:szCs w:val="32"/>
        </w:rPr>
        <w:t>案件线索</w:t>
      </w:r>
      <w:r>
        <w:rPr>
          <w:rFonts w:hint="eastAsia" w:ascii="仿宋" w:hAnsi="仿宋" w:eastAsia="仿宋" w:cs="仿宋"/>
          <w:b/>
          <w:bCs/>
          <w:sz w:val="32"/>
          <w:szCs w:val="32"/>
          <w:lang w:eastAsia="zh-CN"/>
        </w:rPr>
        <w:t>。</w:t>
      </w:r>
      <w:r>
        <w:rPr>
          <w:rFonts w:hint="eastAsia" w:ascii="仿宋" w:hAnsi="仿宋" w:eastAsia="仿宋" w:cs="仿宋"/>
          <w:sz w:val="32"/>
          <w:szCs w:val="32"/>
          <w:lang w:val="en-US" w:eastAsia="zh-CN"/>
        </w:rPr>
        <w:t>即</w:t>
      </w:r>
      <w:r>
        <w:rPr>
          <w:rFonts w:hint="eastAsia" w:ascii="仿宋" w:hAnsi="仿宋" w:eastAsia="仿宋" w:cs="仿宋"/>
          <w:sz w:val="32"/>
          <w:szCs w:val="32"/>
        </w:rPr>
        <w:t>中央和省级生态环境保护督察案件</w:t>
      </w:r>
      <w:r>
        <w:rPr>
          <w:rFonts w:hint="eastAsia" w:ascii="仿宋" w:hAnsi="仿宋" w:eastAsia="仿宋" w:cs="仿宋"/>
          <w:sz w:val="32"/>
          <w:szCs w:val="32"/>
          <w:lang w:eastAsia="zh-CN"/>
        </w:rPr>
        <w:t>、</w:t>
      </w:r>
      <w:r>
        <w:rPr>
          <w:rFonts w:hint="eastAsia" w:ascii="仿宋" w:hAnsi="仿宋" w:eastAsia="仿宋" w:cs="仿宋"/>
          <w:sz w:val="32"/>
          <w:szCs w:val="32"/>
        </w:rPr>
        <w:t>突发生态环境</w:t>
      </w:r>
      <w:r>
        <w:rPr>
          <w:rFonts w:hint="eastAsia" w:ascii="仿宋" w:hAnsi="仿宋" w:eastAsia="仿宋" w:cs="仿宋"/>
          <w:sz w:val="32"/>
          <w:szCs w:val="32"/>
          <w:lang w:val="en-US" w:eastAsia="zh-CN"/>
        </w:rPr>
        <w:t>事件</w:t>
      </w:r>
      <w:r>
        <w:rPr>
          <w:rFonts w:hint="eastAsia" w:ascii="仿宋" w:hAnsi="仿宋" w:eastAsia="仿宋" w:cs="仿宋"/>
          <w:sz w:val="32"/>
          <w:szCs w:val="32"/>
          <w:lang w:eastAsia="zh-CN"/>
        </w:rPr>
        <w:t>、</w:t>
      </w:r>
      <w:r>
        <w:rPr>
          <w:rFonts w:hint="eastAsia" w:ascii="仿宋" w:hAnsi="仿宋" w:eastAsia="仿宋" w:cs="仿宋"/>
          <w:sz w:val="32"/>
          <w:szCs w:val="32"/>
        </w:rPr>
        <w:t>发生生态环境损害的资源与环境行政处罚案件</w:t>
      </w:r>
      <w:r>
        <w:rPr>
          <w:rFonts w:hint="eastAsia" w:ascii="仿宋" w:hAnsi="仿宋" w:eastAsia="仿宋" w:cs="仿宋"/>
          <w:sz w:val="32"/>
          <w:szCs w:val="32"/>
          <w:lang w:eastAsia="zh-CN"/>
        </w:rPr>
        <w:t>、</w:t>
      </w:r>
      <w:r>
        <w:rPr>
          <w:rFonts w:hint="eastAsia" w:ascii="仿宋" w:hAnsi="仿宋" w:eastAsia="仿宋" w:cs="仿宋"/>
          <w:sz w:val="32"/>
          <w:szCs w:val="32"/>
        </w:rPr>
        <w:t>涉嫌构成破坏环境资源保护犯罪的案件</w:t>
      </w:r>
      <w:r>
        <w:rPr>
          <w:rFonts w:hint="eastAsia" w:ascii="仿宋" w:hAnsi="仿宋" w:eastAsia="仿宋" w:cs="仿宋"/>
          <w:sz w:val="32"/>
          <w:szCs w:val="32"/>
          <w:lang w:eastAsia="zh-CN"/>
        </w:rPr>
        <w:t>、</w:t>
      </w:r>
      <w:r>
        <w:rPr>
          <w:rFonts w:hint="eastAsia" w:ascii="仿宋" w:hAnsi="仿宋" w:eastAsia="仿宋" w:cs="仿宋"/>
          <w:sz w:val="32"/>
          <w:szCs w:val="32"/>
        </w:rPr>
        <w:t>在国土空间规划中确定的重点生态功能区</w:t>
      </w:r>
      <w:r>
        <w:rPr>
          <w:rFonts w:hint="eastAsia" w:ascii="仿宋" w:hAnsi="仿宋" w:eastAsia="仿宋" w:cs="仿宋"/>
          <w:sz w:val="32"/>
          <w:szCs w:val="32"/>
          <w:lang w:val="en-US" w:eastAsia="zh-CN"/>
        </w:rPr>
        <w:t>或</w:t>
      </w:r>
      <w:r>
        <w:rPr>
          <w:rFonts w:hint="eastAsia" w:ascii="仿宋" w:hAnsi="仿宋" w:eastAsia="仿宋" w:cs="仿宋"/>
          <w:sz w:val="32"/>
          <w:szCs w:val="32"/>
        </w:rPr>
        <w:t>禁止开发区发生的环境污染</w:t>
      </w:r>
      <w:r>
        <w:rPr>
          <w:rFonts w:hint="eastAsia" w:ascii="仿宋" w:hAnsi="仿宋" w:eastAsia="仿宋" w:cs="仿宋"/>
          <w:sz w:val="32"/>
          <w:szCs w:val="32"/>
          <w:lang w:val="en-US" w:eastAsia="zh-CN"/>
        </w:rPr>
        <w:t>或</w:t>
      </w:r>
      <w:r>
        <w:rPr>
          <w:rFonts w:hint="eastAsia" w:ascii="仿宋" w:hAnsi="仿宋" w:eastAsia="仿宋" w:cs="仿宋"/>
          <w:sz w:val="32"/>
          <w:szCs w:val="32"/>
        </w:rPr>
        <w:t>生态破坏事件线索</w:t>
      </w:r>
      <w:r>
        <w:rPr>
          <w:rFonts w:hint="eastAsia" w:ascii="仿宋" w:hAnsi="仿宋" w:eastAsia="仿宋" w:cs="仿宋"/>
          <w:sz w:val="32"/>
          <w:szCs w:val="32"/>
          <w:lang w:eastAsia="zh-CN"/>
        </w:rPr>
        <w:t>、</w:t>
      </w:r>
      <w:r>
        <w:rPr>
          <w:rFonts w:hint="eastAsia" w:ascii="仿宋" w:hAnsi="仿宋" w:eastAsia="仿宋" w:cs="仿宋"/>
          <w:sz w:val="32"/>
          <w:szCs w:val="32"/>
        </w:rPr>
        <w:t>各项资源与环境专项行动</w:t>
      </w:r>
      <w:r>
        <w:rPr>
          <w:rFonts w:hint="eastAsia" w:ascii="仿宋" w:hAnsi="仿宋" w:eastAsia="仿宋" w:cs="仿宋"/>
          <w:sz w:val="32"/>
          <w:szCs w:val="32"/>
          <w:lang w:val="en-US" w:eastAsia="zh-CN"/>
        </w:rPr>
        <w:t>或</w:t>
      </w:r>
      <w:r>
        <w:rPr>
          <w:rFonts w:hint="eastAsia" w:ascii="仿宋" w:hAnsi="仿宋" w:eastAsia="仿宋" w:cs="仿宋"/>
          <w:sz w:val="32"/>
          <w:szCs w:val="32"/>
        </w:rPr>
        <w:t>执法巡查发现的案件</w:t>
      </w:r>
      <w:r>
        <w:rPr>
          <w:rFonts w:hint="eastAsia" w:ascii="仿宋" w:hAnsi="仿宋" w:eastAsia="仿宋" w:cs="仿宋"/>
          <w:sz w:val="32"/>
          <w:szCs w:val="32"/>
          <w:lang w:val="en-US" w:eastAsia="zh-CN"/>
        </w:rPr>
        <w:t>以及</w:t>
      </w:r>
      <w:r>
        <w:rPr>
          <w:rFonts w:hint="eastAsia" w:ascii="仿宋" w:hAnsi="仿宋" w:eastAsia="仿宋" w:cs="仿宋"/>
          <w:sz w:val="32"/>
          <w:szCs w:val="32"/>
        </w:rPr>
        <w:t>信访投诉、举报和媒体曝光涉及的案件。</w:t>
      </w:r>
    </w:p>
    <w:p>
      <w:pPr>
        <w:widowControl w:val="0"/>
        <w:wordWrap/>
        <w:adjustRightInd/>
        <w:snapToGrid w:val="0"/>
        <w:spacing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三是明确索赔启动条件。</w:t>
      </w:r>
      <w:r>
        <w:rPr>
          <w:rFonts w:hint="eastAsia" w:ascii="仿宋" w:hAnsi="仿宋" w:eastAsia="仿宋" w:cs="仿宋"/>
          <w:sz w:val="32"/>
          <w:szCs w:val="32"/>
          <w:lang w:val="en-US" w:eastAsia="zh-CN"/>
        </w:rPr>
        <w:t>即</w:t>
      </w:r>
      <w:r>
        <w:rPr>
          <w:rFonts w:hint="eastAsia" w:ascii="仿宋" w:hAnsi="仿宋" w:eastAsia="仿宋" w:cs="仿宋"/>
          <w:sz w:val="32"/>
          <w:szCs w:val="32"/>
        </w:rPr>
        <w:t>发生较大及以上突发环境事件的；在国家和省级主体功能区规划中划定的重点生态功能区、禁止开发区发生环境污染、生态破坏事件的；在国家和省级主体功能区规划中划定的重点生态功能区、禁止开发区以外，发生造成生态功能显著下降或者丧失的环境污染、生态破坏事件的；环境行政处罚</w:t>
      </w:r>
      <w:r>
        <w:rPr>
          <w:rFonts w:hint="eastAsia" w:ascii="仿宋" w:hAnsi="仿宋" w:eastAsia="仿宋" w:cs="仿宋"/>
          <w:sz w:val="32"/>
          <w:szCs w:val="32"/>
          <w:lang w:val="en-US" w:eastAsia="zh-CN"/>
        </w:rPr>
        <w:t>案件中涉及严重污染大气、水、土壤等生态环境要素</w:t>
      </w:r>
      <w:r>
        <w:rPr>
          <w:rFonts w:hint="eastAsia" w:ascii="仿宋" w:hAnsi="仿宋" w:eastAsia="仿宋" w:cs="仿宋"/>
          <w:sz w:val="32"/>
          <w:szCs w:val="32"/>
        </w:rPr>
        <w:t>的；</w:t>
      </w:r>
      <w:r>
        <w:rPr>
          <w:rFonts w:hint="eastAsia" w:ascii="仿宋" w:hAnsi="仿宋" w:eastAsia="仿宋" w:cs="仿宋"/>
          <w:sz w:val="32"/>
          <w:szCs w:val="32"/>
          <w:lang w:val="en-US" w:eastAsia="zh-CN"/>
        </w:rPr>
        <w:t>涉嫌构成</w:t>
      </w:r>
      <w:r>
        <w:rPr>
          <w:rFonts w:hint="eastAsia" w:ascii="仿宋" w:hAnsi="仿宋" w:eastAsia="仿宋" w:cs="仿宋"/>
          <w:sz w:val="32"/>
          <w:szCs w:val="32"/>
        </w:rPr>
        <w:t>破坏环境资源保护</w:t>
      </w:r>
      <w:r>
        <w:rPr>
          <w:rFonts w:hint="eastAsia" w:ascii="仿宋" w:hAnsi="仿宋" w:eastAsia="仿宋" w:cs="仿宋"/>
          <w:sz w:val="32"/>
          <w:szCs w:val="32"/>
          <w:lang w:val="en-US" w:eastAsia="zh-CN"/>
        </w:rPr>
        <w:t>犯</w:t>
      </w:r>
      <w:r>
        <w:rPr>
          <w:rFonts w:hint="eastAsia" w:ascii="仿宋" w:hAnsi="仿宋" w:eastAsia="仿宋" w:cs="仿宋"/>
          <w:sz w:val="32"/>
          <w:szCs w:val="32"/>
        </w:rPr>
        <w:t>罪的；造成林</w:t>
      </w:r>
      <w:r>
        <w:rPr>
          <w:rFonts w:hint="eastAsia" w:ascii="仿宋" w:hAnsi="仿宋" w:eastAsia="仿宋" w:cs="仿宋"/>
          <w:sz w:val="32"/>
          <w:szCs w:val="32"/>
          <w:lang w:val="en-US" w:eastAsia="zh-CN"/>
        </w:rPr>
        <w:t>地、</w:t>
      </w:r>
      <w:r>
        <w:rPr>
          <w:rFonts w:hint="eastAsia" w:ascii="仿宋" w:hAnsi="仿宋" w:eastAsia="仿宋" w:cs="仿宋"/>
          <w:sz w:val="32"/>
          <w:szCs w:val="32"/>
        </w:rPr>
        <w:t>草</w:t>
      </w:r>
      <w:r>
        <w:rPr>
          <w:rFonts w:hint="eastAsia" w:ascii="仿宋" w:hAnsi="仿宋" w:eastAsia="仿宋" w:cs="仿宋"/>
          <w:sz w:val="32"/>
          <w:szCs w:val="32"/>
          <w:lang w:val="en-US" w:eastAsia="zh-CN"/>
        </w:rPr>
        <w:t>地、湿地</w:t>
      </w:r>
      <w:r>
        <w:rPr>
          <w:rFonts w:hint="eastAsia" w:ascii="仿宋" w:hAnsi="仿宋" w:eastAsia="仿宋" w:cs="仿宋"/>
          <w:sz w:val="32"/>
          <w:szCs w:val="32"/>
        </w:rPr>
        <w:t>资源破坏的；造成渔业</w:t>
      </w:r>
      <w:r>
        <w:rPr>
          <w:rFonts w:hint="eastAsia" w:ascii="仿宋" w:hAnsi="仿宋" w:eastAsia="仿宋" w:cs="仿宋"/>
          <w:sz w:val="32"/>
          <w:szCs w:val="32"/>
          <w:lang w:val="en-US" w:eastAsia="zh-CN"/>
        </w:rPr>
        <w:t>生态环境破坏或渔业</w:t>
      </w:r>
      <w:r>
        <w:rPr>
          <w:rFonts w:hint="eastAsia" w:ascii="仿宋" w:hAnsi="仿宋" w:eastAsia="仿宋" w:cs="仿宋"/>
          <w:sz w:val="32"/>
          <w:szCs w:val="32"/>
        </w:rPr>
        <w:t>水域污染事故的；</w:t>
      </w:r>
      <w:r>
        <w:rPr>
          <w:rFonts w:hint="eastAsia" w:ascii="仿宋" w:hAnsi="仿宋" w:eastAsia="仿宋" w:cs="仿宋"/>
          <w:sz w:val="32"/>
          <w:szCs w:val="32"/>
          <w:lang w:val="en-US" w:eastAsia="zh-CN"/>
        </w:rPr>
        <w:t>发生在</w:t>
      </w:r>
      <w:r>
        <w:rPr>
          <w:rFonts w:hint="eastAsia" w:ascii="仿宋" w:hAnsi="仿宋" w:eastAsia="仿宋" w:cs="仿宋"/>
          <w:sz w:val="32"/>
          <w:szCs w:val="32"/>
        </w:rPr>
        <w:t>矿产和土地资源</w:t>
      </w:r>
      <w:r>
        <w:rPr>
          <w:rFonts w:hint="eastAsia" w:ascii="仿宋" w:hAnsi="仿宋" w:eastAsia="仿宋" w:cs="仿宋"/>
          <w:sz w:val="32"/>
          <w:szCs w:val="32"/>
          <w:lang w:val="en-US" w:eastAsia="zh-CN"/>
        </w:rPr>
        <w:t>领域中</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严重影响生态环境后果的</w:t>
      </w:r>
      <w:r>
        <w:rPr>
          <w:rFonts w:hint="eastAsia" w:ascii="仿宋" w:hAnsi="仿宋" w:eastAsia="仿宋" w:cs="仿宋"/>
          <w:sz w:val="32"/>
          <w:szCs w:val="32"/>
        </w:rPr>
        <w:t>；其他造成生态功能显著下降或者丧失的环境污染、生态破坏事件。</w:t>
      </w:r>
    </w:p>
    <w:p>
      <w:pPr>
        <w:widowControl w:val="0"/>
        <w:wordWrap/>
        <w:adjustRightInd/>
        <w:snapToGrid w:val="0"/>
        <w:spacing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四是规范</w:t>
      </w:r>
      <w:r>
        <w:rPr>
          <w:rFonts w:hint="eastAsia" w:ascii="仿宋" w:hAnsi="仿宋" w:eastAsia="仿宋" w:cs="仿宋"/>
          <w:b/>
          <w:bCs/>
          <w:sz w:val="32"/>
          <w:szCs w:val="32"/>
        </w:rPr>
        <w:t>生态环境损害调查评估</w:t>
      </w:r>
      <w:r>
        <w:rPr>
          <w:rFonts w:hint="eastAsia" w:ascii="仿宋" w:hAnsi="仿宋" w:eastAsia="仿宋" w:cs="仿宋"/>
          <w:b/>
          <w:bCs/>
          <w:sz w:val="32"/>
          <w:szCs w:val="32"/>
          <w:lang w:val="en-US" w:eastAsia="zh-CN"/>
        </w:rPr>
        <w:t>程序</w:t>
      </w:r>
      <w:r>
        <w:rPr>
          <w:rFonts w:hint="eastAsia" w:ascii="黑体" w:hAnsi="黑体" w:eastAsia="黑体" w:cs="黑体"/>
          <w:b/>
          <w:bCs/>
          <w:sz w:val="32"/>
          <w:szCs w:val="32"/>
          <w:lang w:val="en-US" w:eastAsia="zh-CN"/>
        </w:rPr>
        <w:t>。</w:t>
      </w:r>
      <w:r>
        <w:rPr>
          <w:rFonts w:hint="eastAsia" w:ascii="仿宋" w:hAnsi="仿宋" w:eastAsia="仿宋" w:cs="仿宋"/>
          <w:sz w:val="32"/>
          <w:szCs w:val="32"/>
        </w:rPr>
        <w:t>调查应采用程序化和系统化的方式，原则上在3</w:t>
      </w:r>
      <w:r>
        <w:rPr>
          <w:rFonts w:ascii="仿宋" w:hAnsi="仿宋" w:eastAsia="仿宋" w:cs="仿宋"/>
          <w:sz w:val="32"/>
          <w:szCs w:val="32"/>
        </w:rPr>
        <w:t>0</w:t>
      </w:r>
      <w:r>
        <w:rPr>
          <w:rFonts w:hint="eastAsia" w:ascii="仿宋" w:hAnsi="仿宋" w:eastAsia="仿宋" w:cs="仿宋"/>
          <w:sz w:val="32"/>
          <w:szCs w:val="32"/>
        </w:rPr>
        <w:t>个工作日内完成</w:t>
      </w:r>
      <w:r>
        <w:rPr>
          <w:rFonts w:hint="eastAsia" w:ascii="仿宋" w:hAnsi="仿宋" w:eastAsia="仿宋" w:cs="仿宋"/>
          <w:sz w:val="32"/>
          <w:szCs w:val="32"/>
          <w:lang w:eastAsia="zh-CN"/>
        </w:rPr>
        <w:t>。</w:t>
      </w:r>
      <w:r>
        <w:rPr>
          <w:rFonts w:hint="eastAsia" w:ascii="仿宋" w:hAnsi="仿宋" w:eastAsia="仿宋" w:cs="仿宋"/>
          <w:sz w:val="32"/>
          <w:szCs w:val="32"/>
        </w:rPr>
        <w:t>调查结束</w:t>
      </w:r>
      <w:r>
        <w:rPr>
          <w:rFonts w:hint="eastAsia" w:ascii="仿宋" w:hAnsi="仿宋" w:eastAsia="仿宋" w:cs="仿宋"/>
          <w:sz w:val="32"/>
          <w:szCs w:val="32"/>
          <w:lang w:val="en-US" w:eastAsia="zh-CN"/>
        </w:rPr>
        <w:t>后</w:t>
      </w:r>
      <w:r>
        <w:rPr>
          <w:rFonts w:hint="eastAsia" w:ascii="仿宋" w:hAnsi="仿宋" w:eastAsia="仿宋" w:cs="仿宋"/>
          <w:sz w:val="32"/>
          <w:szCs w:val="32"/>
        </w:rPr>
        <w:t>应当形成调查结论，提出启动索赔或者终止案件的意见。对环境要素相对单一、损害事实简单、责任认定无争议、损害较小的案件，可以采用委托专家评估的方式，出具专家意见。</w:t>
      </w:r>
    </w:p>
    <w:p>
      <w:pPr>
        <w:widowControl w:val="0"/>
        <w:wordWrap/>
        <w:adjustRightInd/>
        <w:snapToGrid w:val="0"/>
        <w:spacing w:line="600" w:lineRule="exact"/>
        <w:ind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rPr>
        <w:t>五是完善赔偿磋商程序</w:t>
      </w:r>
      <w:r>
        <w:rPr>
          <w:rFonts w:hint="eastAsia" w:ascii="仿宋" w:hAnsi="仿宋" w:eastAsia="仿宋" w:cs="仿宋"/>
          <w:b w:val="0"/>
          <w:bCs w:val="0"/>
          <w:sz w:val="32"/>
          <w:szCs w:val="32"/>
          <w:lang w:val="en-US" w:eastAsia="zh-CN"/>
        </w:rPr>
        <w:t>。案情比较复杂的，在首次磋商前，</w:t>
      </w:r>
      <w:r>
        <w:rPr>
          <w:rFonts w:hint="eastAsia" w:ascii="仿宋" w:hAnsi="仿宋" w:eastAsia="仿宋" w:cs="仿宋"/>
          <w:b w:val="0"/>
          <w:bCs w:val="0"/>
          <w:sz w:val="32"/>
          <w:szCs w:val="32"/>
        </w:rPr>
        <w:t>可以组织沟通交流。对于可以达成一致意向的磋商，可以在磋商后，就磋商期限内难以确定的</w:t>
      </w:r>
      <w:r>
        <w:rPr>
          <w:rFonts w:hint="eastAsia" w:ascii="仿宋" w:hAnsi="仿宋" w:eastAsia="仿宋" w:cs="仿宋"/>
          <w:sz w:val="32"/>
          <w:szCs w:val="32"/>
        </w:rPr>
        <w:t>具体问题签订补充协议</w:t>
      </w:r>
      <w:r>
        <w:rPr>
          <w:rFonts w:hint="eastAsia" w:ascii="仿宋" w:hAnsi="仿宋" w:eastAsia="仿宋" w:cs="仿宋"/>
          <w:sz w:val="32"/>
          <w:szCs w:val="32"/>
          <w:lang w:eastAsia="zh-CN"/>
        </w:rPr>
        <w:t>。</w:t>
      </w:r>
      <w:r>
        <w:rPr>
          <w:rFonts w:hint="eastAsia" w:ascii="仿宋" w:hAnsi="仿宋" w:eastAsia="仿宋" w:cs="仿宋"/>
          <w:sz w:val="32"/>
          <w:szCs w:val="32"/>
        </w:rPr>
        <w:t>对生态环境损害事实简单、调查结论和鉴定评估意见等无争议的，可以简化磋商程序，直接进行协商。</w:t>
      </w:r>
    </w:p>
    <w:p>
      <w:pPr>
        <w:widowControl w:val="0"/>
        <w:wordWrap/>
        <w:adjustRightInd/>
        <w:snapToGrid w:val="0"/>
        <w:spacing w:line="600" w:lineRule="exact"/>
        <w:ind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rPr>
        <w:t>六是明确司法裁量标准。</w:t>
      </w:r>
      <w:r>
        <w:rPr>
          <w:rFonts w:hint="eastAsia" w:ascii="仿宋" w:hAnsi="仿宋" w:eastAsia="仿宋" w:cs="仿宋"/>
          <w:sz w:val="32"/>
          <w:szCs w:val="32"/>
        </w:rPr>
        <w:t>经磋商达成赔偿协议的，赔偿权利人及其指定的部门或机构可以自赔偿协议签订之日起</w:t>
      </w:r>
      <w:r>
        <w:rPr>
          <w:rFonts w:hint="eastAsia" w:ascii="仿宋" w:hAnsi="仿宋" w:eastAsia="仿宋" w:cs="仿宋"/>
          <w:sz w:val="32"/>
          <w:szCs w:val="32"/>
          <w:lang w:val="en-US" w:eastAsia="zh-CN"/>
        </w:rPr>
        <w:t>30</w:t>
      </w:r>
      <w:r>
        <w:rPr>
          <w:rFonts w:hint="eastAsia" w:ascii="仿宋" w:hAnsi="仿宋" w:eastAsia="仿宋" w:cs="仿宋"/>
          <w:sz w:val="32"/>
          <w:szCs w:val="32"/>
        </w:rPr>
        <w:t>日内向人民法院申请司法确认。人民法院受理申请后，应当公告协议内容，公告期间不少于</w:t>
      </w:r>
      <w:r>
        <w:rPr>
          <w:rFonts w:hint="eastAsia" w:ascii="仿宋" w:hAnsi="仿宋" w:eastAsia="仿宋" w:cs="仿宋"/>
          <w:sz w:val="32"/>
          <w:szCs w:val="32"/>
          <w:lang w:val="en-US" w:eastAsia="zh-CN"/>
        </w:rPr>
        <w:t>30</w:t>
      </w:r>
      <w:r>
        <w:rPr>
          <w:rFonts w:hint="eastAsia" w:ascii="仿宋" w:hAnsi="仿宋" w:eastAsia="仿宋" w:cs="仿宋"/>
          <w:sz w:val="32"/>
          <w:szCs w:val="32"/>
        </w:rPr>
        <w:t>日。</w:t>
      </w:r>
      <w:r>
        <w:rPr>
          <w:rFonts w:ascii="仿宋" w:hAnsi="仿宋" w:eastAsia="仿宋" w:cs="仿宋"/>
          <w:sz w:val="32"/>
          <w:szCs w:val="32"/>
        </w:rPr>
        <w:t>对积极参与生态环境损害赔偿磋商</w:t>
      </w:r>
      <w:r>
        <w:rPr>
          <w:rFonts w:hint="eastAsia" w:ascii="仿宋" w:hAnsi="仿宋" w:eastAsia="仿宋" w:cs="仿宋"/>
          <w:sz w:val="32"/>
          <w:szCs w:val="32"/>
        </w:rPr>
        <w:t>、</w:t>
      </w:r>
      <w:r>
        <w:rPr>
          <w:rFonts w:ascii="仿宋" w:hAnsi="仿宋" w:eastAsia="仿宋" w:cs="仿宋"/>
          <w:sz w:val="32"/>
          <w:szCs w:val="32"/>
        </w:rPr>
        <w:t>及时履行赔偿协</w:t>
      </w:r>
      <w:r>
        <w:rPr>
          <w:rFonts w:hint="eastAsia" w:ascii="仿宋" w:hAnsi="仿宋" w:eastAsia="仿宋" w:cs="仿宋"/>
          <w:sz w:val="32"/>
          <w:szCs w:val="32"/>
        </w:rPr>
        <w:t>议，主动消除或减轻生态环境损害后果的，</w:t>
      </w:r>
      <w:r>
        <w:rPr>
          <w:rFonts w:ascii="仿宋" w:hAnsi="仿宋" w:eastAsia="仿宋" w:cs="仿宋"/>
          <w:sz w:val="32"/>
          <w:szCs w:val="32"/>
        </w:rPr>
        <w:t>在作出行政处罚裁量时予以考虑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在</w:t>
      </w:r>
      <w:r>
        <w:rPr>
          <w:rFonts w:hint="eastAsia" w:ascii="仿宋" w:hAnsi="仿宋" w:eastAsia="仿宋" w:cs="仿宋"/>
          <w:sz w:val="32"/>
          <w:szCs w:val="32"/>
        </w:rPr>
        <w:t>与公益诉讼的衔接</w:t>
      </w:r>
      <w:r>
        <w:rPr>
          <w:rFonts w:hint="eastAsia" w:ascii="仿宋" w:hAnsi="仿宋" w:eastAsia="仿宋" w:cs="仿宋"/>
          <w:sz w:val="32"/>
          <w:szCs w:val="32"/>
          <w:lang w:val="en-US" w:eastAsia="zh-CN"/>
        </w:rPr>
        <w:t>上。</w:t>
      </w:r>
      <w:r>
        <w:rPr>
          <w:rFonts w:hint="eastAsia" w:ascii="仿宋" w:hAnsi="仿宋" w:eastAsia="仿宋" w:cs="仿宋"/>
          <w:sz w:val="32"/>
          <w:szCs w:val="32"/>
        </w:rPr>
        <w:t>赔偿权利人及其指定的部门或机构，在启动生态环境损害赔偿调查后可以同时告知相关人民法院和检察机关。人民法院</w:t>
      </w:r>
      <w:r>
        <w:rPr>
          <w:rFonts w:hint="eastAsia" w:ascii="仿宋" w:hAnsi="仿宋" w:eastAsia="仿宋" w:cs="仿宋"/>
          <w:sz w:val="32"/>
          <w:szCs w:val="32"/>
          <w:lang w:val="en-US" w:eastAsia="zh-CN"/>
        </w:rPr>
        <w:t>需要生态环境资源监督管理部门配合审执工作的，</w:t>
      </w:r>
      <w:r>
        <w:rPr>
          <w:rFonts w:hint="eastAsia" w:ascii="仿宋" w:hAnsi="仿宋" w:eastAsia="仿宋" w:cs="仿宋"/>
          <w:sz w:val="32"/>
          <w:szCs w:val="32"/>
        </w:rPr>
        <w:t>应当在10日内告知对被告行为负有环境资源监督管理职责的部门</w:t>
      </w:r>
      <w:r>
        <w:rPr>
          <w:rFonts w:hint="eastAsia" w:ascii="仿宋" w:hAnsi="仿宋" w:eastAsia="仿宋" w:cs="仿宋"/>
          <w:sz w:val="32"/>
          <w:szCs w:val="32"/>
          <w:lang w:eastAsia="zh-CN"/>
        </w:rPr>
        <w:t>。</w:t>
      </w:r>
      <w:r>
        <w:rPr>
          <w:rFonts w:hint="eastAsia" w:ascii="仿宋" w:hAnsi="仿宋" w:eastAsia="仿宋" w:cs="仿宋"/>
          <w:sz w:val="32"/>
          <w:szCs w:val="32"/>
        </w:rPr>
        <w:t>检察机关</w:t>
      </w:r>
      <w:r>
        <w:rPr>
          <w:rFonts w:hint="eastAsia" w:ascii="仿宋" w:hAnsi="仿宋" w:eastAsia="仿宋" w:cs="仿宋"/>
          <w:sz w:val="32"/>
          <w:szCs w:val="32"/>
          <w:lang w:val="en-US" w:eastAsia="zh-CN"/>
        </w:rPr>
        <w:t>可以对生态环境损害赔偿磋商和诉讼提供法律支持。</w:t>
      </w:r>
    </w:p>
    <w:p>
      <w:pPr>
        <w:widowControl w:val="0"/>
        <w:wordWrap/>
        <w:adjustRightInd/>
        <w:snapToGrid w:val="0"/>
        <w:spacing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七是明确</w:t>
      </w:r>
      <w:r>
        <w:rPr>
          <w:rFonts w:hint="eastAsia" w:ascii="仿宋" w:hAnsi="仿宋" w:eastAsia="仿宋" w:cs="仿宋"/>
          <w:b/>
          <w:bCs/>
          <w:sz w:val="32"/>
          <w:szCs w:val="32"/>
        </w:rPr>
        <w:t>生态环境修复及其效果评估</w:t>
      </w:r>
      <w:r>
        <w:rPr>
          <w:rFonts w:hint="eastAsia" w:ascii="仿宋" w:hAnsi="仿宋" w:eastAsia="仿宋" w:cs="仿宋"/>
          <w:b/>
          <w:bCs/>
          <w:sz w:val="32"/>
          <w:szCs w:val="32"/>
          <w:lang w:val="en-US" w:eastAsia="zh-CN"/>
        </w:rPr>
        <w:t>程序。</w:t>
      </w:r>
      <w:r>
        <w:rPr>
          <w:rFonts w:hint="eastAsia" w:ascii="仿宋" w:hAnsi="仿宋" w:eastAsia="仿宋" w:cs="仿宋"/>
          <w:sz w:val="32"/>
          <w:szCs w:val="32"/>
        </w:rPr>
        <w:t>对于生态环境可以修复的案件，经磋商一致的，赔偿义务人应当根据磋商协议，自行组织或委托具备修复能力的社会第三方机构修复受损生态环境</w:t>
      </w:r>
      <w:r>
        <w:rPr>
          <w:rFonts w:hint="eastAsia" w:ascii="仿宋" w:hAnsi="仿宋" w:eastAsia="仿宋" w:cs="仿宋"/>
          <w:sz w:val="32"/>
          <w:szCs w:val="32"/>
          <w:lang w:eastAsia="zh-CN"/>
        </w:rPr>
        <w:t>。</w:t>
      </w:r>
      <w:r>
        <w:rPr>
          <w:rFonts w:hint="eastAsia" w:ascii="仿宋" w:hAnsi="仿宋" w:eastAsia="仿宋" w:cs="仿宋"/>
          <w:sz w:val="32"/>
          <w:szCs w:val="32"/>
        </w:rPr>
        <w:t>赔偿义务人造成生态环境损害无法修复的，其赔偿资金按照《黑龙江省生态环境损害赔偿资金管理办法（试行）》</w:t>
      </w:r>
      <w:r>
        <w:rPr>
          <w:rFonts w:hint="eastAsia" w:ascii="仿宋" w:hAnsi="仿宋" w:eastAsia="仿宋" w:cs="仿宋"/>
          <w:sz w:val="32"/>
          <w:szCs w:val="32"/>
          <w:lang w:val="en-US" w:eastAsia="zh-CN"/>
        </w:rPr>
        <w:t>的</w:t>
      </w:r>
      <w:r>
        <w:rPr>
          <w:rFonts w:hint="eastAsia" w:ascii="仿宋" w:hAnsi="仿宋" w:eastAsia="仿宋" w:cs="仿宋"/>
          <w:sz w:val="32"/>
          <w:szCs w:val="32"/>
        </w:rPr>
        <w:t>规定执行。对环境要素相对单一、损害较小、修复简单的案件，可以委托专家评估</w:t>
      </w:r>
      <w:r>
        <w:rPr>
          <w:rFonts w:hint="eastAsia" w:ascii="仿宋" w:hAnsi="仿宋" w:eastAsia="仿宋" w:cs="仿宋"/>
          <w:sz w:val="32"/>
          <w:szCs w:val="32"/>
          <w:lang w:eastAsia="zh-CN"/>
        </w:rPr>
        <w:t>。</w:t>
      </w:r>
      <w:r>
        <w:rPr>
          <w:rFonts w:hint="eastAsia" w:ascii="仿宋" w:hAnsi="仿宋" w:eastAsia="仿宋" w:cs="仿宋"/>
          <w:sz w:val="32"/>
          <w:szCs w:val="32"/>
        </w:rPr>
        <w:t>评估认定修复效果未达到生态环境修复目标的，责令继续开展修复。</w:t>
      </w:r>
    </w:p>
    <w:p>
      <w:pPr>
        <w:widowControl w:val="0"/>
        <w:wordWrap/>
        <w:adjustRightInd/>
        <w:snapToGrid w:val="0"/>
        <w:spacing w:line="600" w:lineRule="exact"/>
        <w:ind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rPr>
        <w:t>八是规范</w:t>
      </w:r>
      <w:r>
        <w:rPr>
          <w:rFonts w:hint="eastAsia" w:ascii="仿宋" w:hAnsi="仿宋" w:eastAsia="仿宋" w:cs="仿宋"/>
          <w:b/>
          <w:bCs/>
          <w:sz w:val="32"/>
          <w:szCs w:val="32"/>
        </w:rPr>
        <w:t>资金管理</w:t>
      </w:r>
      <w:r>
        <w:rPr>
          <w:rFonts w:hint="eastAsia" w:ascii="仿宋" w:hAnsi="仿宋" w:eastAsia="仿宋" w:cs="仿宋"/>
          <w:b/>
          <w:bCs/>
          <w:sz w:val="32"/>
          <w:szCs w:val="32"/>
          <w:lang w:eastAsia="zh-CN"/>
        </w:rPr>
        <w:t>。</w:t>
      </w:r>
      <w:r>
        <w:rPr>
          <w:rFonts w:hint="eastAsia" w:ascii="仿宋" w:hAnsi="仿宋" w:eastAsia="仿宋" w:cs="仿宋"/>
          <w:sz w:val="32"/>
          <w:szCs w:val="32"/>
        </w:rPr>
        <w:t>赔偿资金的管理，按照《黑龙江省生态环境损害赔偿制度资金管理办法（试行）》的规定执行。</w:t>
      </w:r>
    </w:p>
    <w:p>
      <w:pPr>
        <w:widowControl w:val="0"/>
        <w:wordWrap/>
        <w:adjustRightInd/>
        <w:snapToGrid w:val="0"/>
        <w:spacing w:line="600" w:lineRule="exact"/>
        <w:ind w:firstLine="643" w:firstLineChars="200"/>
        <w:jc w:val="both"/>
        <w:textAlignment w:val="auto"/>
        <w:outlineLvl w:val="9"/>
        <w:rPr>
          <w:rFonts w:ascii="仿宋" w:hAnsi="仿宋" w:eastAsia="仿宋" w:cs="仿宋"/>
          <w:sz w:val="32"/>
          <w:szCs w:val="32"/>
        </w:rPr>
      </w:pPr>
      <w:r>
        <w:rPr>
          <w:rFonts w:hint="eastAsia" w:ascii="仿宋" w:hAnsi="仿宋" w:eastAsia="仿宋" w:cs="仿宋"/>
          <w:b/>
          <w:bCs/>
          <w:sz w:val="32"/>
          <w:szCs w:val="32"/>
          <w:lang w:val="en-US" w:eastAsia="zh-CN"/>
        </w:rPr>
        <w:t>九是加强公众参与。</w:t>
      </w:r>
      <w:r>
        <w:rPr>
          <w:rFonts w:hint="eastAsia" w:ascii="仿宋" w:hAnsi="仿宋" w:eastAsia="仿宋" w:cs="仿宋"/>
          <w:sz w:val="32"/>
          <w:szCs w:val="32"/>
        </w:rPr>
        <w:t>赔偿权利人及其指定的部门或机构应充分发挥新闻媒体、科研教育部门和非政府组织的主体作用</w:t>
      </w:r>
      <w:r>
        <w:rPr>
          <w:rFonts w:hint="eastAsia" w:ascii="仿宋" w:hAnsi="仿宋" w:eastAsia="仿宋" w:cs="仿宋"/>
          <w:sz w:val="32"/>
          <w:szCs w:val="32"/>
          <w:lang w:eastAsia="zh-CN"/>
        </w:rPr>
        <w:t>，</w:t>
      </w:r>
      <w:r>
        <w:rPr>
          <w:rFonts w:hint="eastAsia" w:ascii="仿宋" w:hAnsi="仿宋" w:eastAsia="仿宋" w:cs="仿宋"/>
          <w:sz w:val="32"/>
          <w:szCs w:val="32"/>
        </w:rPr>
        <w:t>加大对生态环境损害赔偿有关法规制度的宣传力度</w:t>
      </w:r>
      <w:r>
        <w:rPr>
          <w:rFonts w:hint="eastAsia" w:ascii="仿宋" w:hAnsi="仿宋" w:eastAsia="仿宋" w:cs="仿宋"/>
          <w:sz w:val="32"/>
          <w:szCs w:val="32"/>
          <w:lang w:eastAsia="zh-CN"/>
        </w:rPr>
        <w:t>，</w:t>
      </w:r>
      <w:r>
        <w:rPr>
          <w:rFonts w:ascii="仿宋" w:hAnsi="仿宋" w:eastAsia="仿宋" w:cs="仿宋"/>
          <w:sz w:val="32"/>
          <w:szCs w:val="32"/>
        </w:rPr>
        <w:t>营造维护国家利益和社会公共</w:t>
      </w:r>
      <w:bookmarkStart w:id="0" w:name="_GoBack"/>
      <w:bookmarkEnd w:id="0"/>
      <w:r>
        <w:rPr>
          <w:rFonts w:ascii="仿宋" w:hAnsi="仿宋" w:eastAsia="仿宋" w:cs="仿宋"/>
          <w:sz w:val="32"/>
          <w:szCs w:val="32"/>
        </w:rPr>
        <w:t>利益的良好社会氛围。</w:t>
      </w:r>
    </w:p>
    <w:p>
      <w:pPr>
        <w:widowControl w:val="0"/>
        <w:numPr>
          <w:numId w:val="0"/>
        </w:numPr>
        <w:wordWrap/>
        <w:adjustRightInd/>
        <w:snapToGrid w:val="0"/>
        <w:spacing w:line="60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(三）保障措施</w:t>
      </w:r>
    </w:p>
    <w:p>
      <w:pPr>
        <w:widowControl w:val="0"/>
        <w:numPr>
          <w:numId w:val="0"/>
        </w:numPr>
        <w:wordWrap/>
        <w:adjustRightInd/>
        <w:snapToGrid w:val="0"/>
        <w:spacing w:line="600" w:lineRule="exact"/>
        <w:ind w:firstLine="640"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为确保各项措施落实到处，《实施意见》提出</w:t>
      </w:r>
      <w:r>
        <w:rPr>
          <w:rFonts w:hint="eastAsia" w:ascii="仿宋" w:hAnsi="仿宋" w:eastAsia="仿宋" w:cs="仿宋"/>
          <w:sz w:val="32"/>
          <w:szCs w:val="32"/>
        </w:rPr>
        <w:t>各</w:t>
      </w:r>
      <w:r>
        <w:rPr>
          <w:rFonts w:hint="eastAsia" w:ascii="仿宋" w:hAnsi="仿宋" w:eastAsia="仿宋" w:cs="仿宋"/>
          <w:sz w:val="32"/>
          <w:szCs w:val="32"/>
          <w:lang w:eastAsia="zh-CN"/>
        </w:rPr>
        <w:t>市（</w:t>
      </w:r>
      <w:r>
        <w:rPr>
          <w:rFonts w:hint="eastAsia" w:ascii="仿宋" w:hAnsi="仿宋" w:eastAsia="仿宋" w:cs="仿宋"/>
          <w:sz w:val="32"/>
          <w:szCs w:val="32"/>
        </w:rPr>
        <w:t>地</w:t>
      </w:r>
      <w:r>
        <w:rPr>
          <w:rFonts w:hint="eastAsia" w:ascii="仿宋" w:hAnsi="仿宋" w:eastAsia="仿宋" w:cs="仿宋"/>
          <w:sz w:val="32"/>
          <w:szCs w:val="32"/>
          <w:lang w:eastAsia="zh-CN"/>
        </w:rPr>
        <w:t>）</w:t>
      </w:r>
      <w:r>
        <w:rPr>
          <w:rFonts w:hint="eastAsia" w:ascii="仿宋" w:hAnsi="仿宋" w:eastAsia="仿宋" w:cs="仿宋"/>
          <w:sz w:val="32"/>
          <w:szCs w:val="32"/>
        </w:rPr>
        <w:t>生态环境损害赔偿制度改革工作领导小组成员单位要统筹推进本地区生态环境损害赔偿改革工作。赔偿权利人</w:t>
      </w:r>
      <w:r>
        <w:rPr>
          <w:rFonts w:hint="eastAsia" w:ascii="仿宋" w:hAnsi="仿宋" w:eastAsia="仿宋" w:cs="仿宋"/>
          <w:sz w:val="32"/>
          <w:szCs w:val="32"/>
          <w:lang w:val="en-US" w:eastAsia="zh-CN"/>
        </w:rPr>
        <w:t>及其</w:t>
      </w:r>
      <w:r>
        <w:rPr>
          <w:rFonts w:hint="eastAsia" w:ascii="仿宋" w:hAnsi="仿宋" w:eastAsia="仿宋" w:cs="仿宋"/>
          <w:sz w:val="32"/>
          <w:szCs w:val="32"/>
        </w:rPr>
        <w:t>指定的部门或机构应当根据实际情况确定专门的生态环境损害赔偿工作人员。定期组织培训加快生态环境损害领域司法鉴定机构的建设和培育</w:t>
      </w:r>
      <w:r>
        <w:rPr>
          <w:rFonts w:hint="eastAsia" w:ascii="仿宋" w:hAnsi="仿宋" w:eastAsia="仿宋" w:cs="仿宋"/>
          <w:sz w:val="32"/>
          <w:szCs w:val="32"/>
          <w:lang w:eastAsia="zh-CN"/>
        </w:rPr>
        <w:t>。</w:t>
      </w:r>
      <w:r>
        <w:rPr>
          <w:rFonts w:hint="eastAsia" w:ascii="仿宋" w:hAnsi="仿宋" w:eastAsia="仿宋" w:cs="仿宋"/>
          <w:sz w:val="32"/>
          <w:szCs w:val="32"/>
        </w:rPr>
        <w:t>探索建立案件信息共享平台，加强部门间协同合作。相关部门依据各自职能加强对</w:t>
      </w:r>
      <w:r>
        <w:rPr>
          <w:rFonts w:hint="eastAsia" w:ascii="仿宋" w:hAnsi="仿宋" w:eastAsia="仿宋" w:cs="仿宋"/>
          <w:sz w:val="32"/>
          <w:szCs w:val="32"/>
          <w:lang w:eastAsia="zh-CN"/>
        </w:rPr>
        <w:t>市（</w:t>
      </w:r>
      <w:r>
        <w:rPr>
          <w:rFonts w:hint="eastAsia" w:ascii="仿宋" w:hAnsi="仿宋" w:eastAsia="仿宋" w:cs="仿宋"/>
          <w:sz w:val="32"/>
          <w:szCs w:val="32"/>
        </w:rPr>
        <w:t>地</w:t>
      </w:r>
      <w:r>
        <w:rPr>
          <w:rFonts w:hint="eastAsia" w:ascii="仿宋" w:hAnsi="仿宋" w:eastAsia="仿宋" w:cs="仿宋"/>
          <w:sz w:val="32"/>
          <w:szCs w:val="32"/>
          <w:lang w:eastAsia="zh-CN"/>
        </w:rPr>
        <w:t>）</w:t>
      </w:r>
      <w:r>
        <w:rPr>
          <w:rFonts w:hint="eastAsia" w:ascii="仿宋" w:hAnsi="仿宋" w:eastAsia="仿宋" w:cs="仿宋"/>
          <w:sz w:val="32"/>
          <w:szCs w:val="32"/>
        </w:rPr>
        <w:t>级有关生态环境损害赔偿业务工作的指导。</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8196278">
    <w:nsid w:val="0246D436"/>
    <w:multiLevelType w:val="singleLevel"/>
    <w:tmpl w:val="0246D436"/>
    <w:lvl w:ilvl="0" w:tentative="1">
      <w:start w:val="2"/>
      <w:numFmt w:val="chineseCounting"/>
      <w:suff w:val="nothing"/>
      <w:lvlText w:val="（%1）"/>
      <w:lvlJc w:val="left"/>
      <w:rPr>
        <w:rFonts w:hint="eastAsia"/>
      </w:rPr>
    </w:lvl>
  </w:abstractNum>
  <w:num w:numId="1">
    <w:abstractNumId w:val="381962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rPr>
  </w:style>
  <w:style w:type="character" w:default="1" w:styleId="5">
    <w:name w:val="Default Paragraph Font"/>
    <w:semiHidden/>
    <w:qFormat/>
    <w:uiPriority w:val="0"/>
  </w:style>
  <w:style w:type="paragraph" w:styleId="3">
    <w:name w:val="annotation text"/>
    <w:basedOn w:val="1"/>
    <w:qFormat/>
    <w:uiPriority w:val="0"/>
    <w:pPr>
      <w:jc w:val="left"/>
    </w:pPr>
  </w:style>
  <w:style w:type="paragraph" w:styleId="4">
    <w:name w:val="Normal (Web)"/>
    <w:basedOn w:val="1"/>
    <w:qFormat/>
    <w:uiPriority w:val="0"/>
    <w:pPr>
      <w:spacing w:beforeAutospacing="1" w:afterAutospacing="1"/>
      <w:jc w:val="left"/>
    </w:pPr>
    <w:rPr>
      <w:kern w:val="0"/>
      <w:sz w:val="24"/>
    </w:rPr>
  </w:style>
  <w:style w:type="character" w:styleId="6">
    <w:name w:val="Hyperlink"/>
    <w:basedOn w:val="5"/>
    <w:qFormat/>
    <w:uiPriority w:val="0"/>
    <w:rPr>
      <w:color w:val="0000FF"/>
      <w:u w:val="single"/>
    </w:rPr>
  </w:style>
  <w:style w:type="character" w:styleId="7">
    <w:name w:val="annotation reference"/>
    <w:basedOn w:val="5"/>
    <w:qFormat/>
    <w:uiPriority w:val="0"/>
    <w:rPr>
      <w:sz w:val="21"/>
      <w:szCs w:val="21"/>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2021-08-19T07:29:00Z</dcterms:created>
  <dc:creator>admin</dc:creator>
  <cp:lastModifiedBy>李胜</cp:lastModifiedBy>
  <cp:lastPrinted>2021-12-13T03:01:44Z</cp:lastPrinted>
  <dcterms:modified xsi:type="dcterms:W3CDTF">2021-12-13T03:02:39Z</dcterms:modified>
  <dc:title>关于《关于推进黑龙江省生态环境损害赔偿制度改革若干具体问题的意见》</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