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color w:val="FF0000"/>
          <w:spacing w:val="-20"/>
          <w:w w:val="63"/>
          <w:sz w:val="120"/>
          <w:szCs w:val="120"/>
        </w:rPr>
      </w:pPr>
    </w:p>
    <w:p>
      <w:pPr>
        <w:spacing w:line="500" w:lineRule="exact"/>
        <w:jc w:val="center"/>
        <w:rPr>
          <w:rFonts w:hint="eastAsia"/>
          <w:color w:val="FF0000"/>
          <w:spacing w:val="-20"/>
          <w:w w:val="63"/>
          <w:sz w:val="120"/>
          <w:szCs w:val="120"/>
        </w:rPr>
      </w:pPr>
    </w:p>
    <w:p>
      <w:pPr>
        <w:spacing w:line="500" w:lineRule="exact"/>
        <w:jc w:val="center"/>
        <w:rPr>
          <w:rFonts w:hint="eastAsia"/>
          <w:color w:val="FF0000"/>
          <w:spacing w:val="-20"/>
          <w:w w:val="63"/>
          <w:sz w:val="120"/>
          <w:szCs w:val="120"/>
        </w:rPr>
      </w:pPr>
    </w:p>
    <w:p>
      <w:pPr>
        <w:spacing w:line="500" w:lineRule="exact"/>
        <w:rPr>
          <w:rFonts w:hint="eastAsia" w:eastAsia="黑体"/>
          <w:color w:val="FF0000"/>
          <w:sz w:val="32"/>
          <w:szCs w:val="32"/>
        </w:rPr>
      </w:pPr>
    </w:p>
    <w:p>
      <w:pPr>
        <w:spacing w:line="500" w:lineRule="exact"/>
        <w:rPr>
          <w:rFonts w:hint="eastAsia" w:eastAsia="黑体"/>
          <w:color w:val="FF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仿宋_GB2312" w:hAnsi="宋体" w:eastAsia="仿宋_GB2312"/>
          <w:color w:val="000000"/>
          <w:w w:val="100"/>
          <w:sz w:val="32"/>
          <w:szCs w:val="32"/>
          <w:lang w:val="en-US" w:eastAsia="zh-CN"/>
        </w:rPr>
      </w:pPr>
      <w:r>
        <w:rPr>
          <w:rFonts w:hint="default" w:ascii="Times New Roman" w:hAnsi="Times New Roman" w:eastAsia="仿宋_GB2312" w:cs="Times New Roman"/>
          <w:color w:val="000000"/>
          <w:w w:val="100"/>
          <w:sz w:val="32"/>
          <w:szCs w:val="32"/>
          <w:lang w:val="en-US" w:eastAsia="zh-CN"/>
        </w:rPr>
        <w:t>黑环办发〔2025〕56号</w:t>
      </w:r>
    </w:p>
    <w:p>
      <w:pPr>
        <w:spacing w:line="400" w:lineRule="exact"/>
        <w:jc w:val="center"/>
        <w:rPr>
          <w:rFonts w:hint="eastAsia"/>
          <w:color w:val="FF0000"/>
          <w:spacing w:val="-20"/>
          <w:w w:val="63"/>
          <w:sz w:val="120"/>
          <w:szCs w:val="120"/>
        </w:rPr>
      </w:pPr>
    </w:p>
    <w:p>
      <w:pPr>
        <w:pStyle w:val="3"/>
        <w:widowControl/>
        <w:spacing w:before="0" w:beforeAutospacing="0" w:after="0" w:afterAutospacing="0" w:line="560" w:lineRule="exact"/>
        <w:jc w:val="center"/>
        <w:rPr>
          <w:rFonts w:hint="eastAsia" w:eastAsia="方正小标宋简体"/>
          <w:color w:val="auto"/>
          <w:sz w:val="44"/>
          <w:szCs w:val="44"/>
          <w:lang w:val="en-US" w:eastAsia="zh-CN"/>
        </w:rPr>
      </w:pPr>
      <w:bookmarkStart w:id="0" w:name="_GoBack"/>
      <w:r>
        <w:rPr>
          <w:rFonts w:hint="eastAsia" w:eastAsia="方正小标宋简体"/>
          <w:color w:val="auto"/>
          <w:sz w:val="44"/>
          <w:szCs w:val="44"/>
          <w:lang w:val="en-US" w:eastAsia="zh-CN"/>
        </w:rPr>
        <w:t>关于印发《黑龙江省固定污染源环保许可</w:t>
      </w:r>
    </w:p>
    <w:p>
      <w:pPr>
        <w:pStyle w:val="3"/>
        <w:widowControl/>
        <w:spacing w:before="0" w:beforeAutospacing="0" w:after="0" w:afterAutospacing="0" w:line="560" w:lineRule="exact"/>
        <w:jc w:val="center"/>
        <w:rPr>
          <w:rFonts w:hint="eastAsia" w:eastAsia="方正小标宋简体"/>
          <w:color w:val="auto"/>
          <w:sz w:val="44"/>
          <w:szCs w:val="44"/>
          <w:lang w:val="en-US" w:eastAsia="zh-CN"/>
        </w:rPr>
      </w:pPr>
      <w:r>
        <w:rPr>
          <w:rFonts w:hint="eastAsia" w:eastAsia="方正小标宋简体"/>
          <w:color w:val="auto"/>
          <w:sz w:val="44"/>
          <w:szCs w:val="44"/>
          <w:lang w:val="en-US" w:eastAsia="zh-CN"/>
        </w:rPr>
        <w:t>“一件事”</w:t>
      </w:r>
      <w:r>
        <w:rPr>
          <w:rFonts w:hint="eastAsia" w:eastAsia="方正小标宋简体"/>
          <w:color w:val="auto"/>
          <w:sz w:val="44"/>
          <w:szCs w:val="44"/>
        </w:rPr>
        <w:t>实施</w:t>
      </w:r>
      <w:r>
        <w:rPr>
          <w:rFonts w:eastAsia="方正小标宋简体"/>
          <w:color w:val="auto"/>
          <w:sz w:val="44"/>
          <w:szCs w:val="44"/>
        </w:rPr>
        <w:t>方案（试行）</w:t>
      </w:r>
      <w:r>
        <w:rPr>
          <w:rFonts w:hint="eastAsia" w:eastAsia="方正小标宋简体"/>
          <w:color w:val="auto"/>
          <w:sz w:val="44"/>
          <w:szCs w:val="44"/>
          <w:lang w:val="en-US" w:eastAsia="zh-CN"/>
        </w:rPr>
        <w:t>》的通知</w:t>
      </w:r>
      <w:bookmarkEnd w:id="0"/>
    </w:p>
    <w:p>
      <w:pPr>
        <w:pStyle w:val="3"/>
        <w:widowControl/>
        <w:spacing w:before="0" w:beforeAutospacing="0" w:after="0" w:afterAutospacing="0" w:line="560" w:lineRule="exact"/>
        <w:jc w:val="center"/>
        <w:rPr>
          <w:rFonts w:hint="eastAsia" w:eastAsia="方正小标宋简体"/>
          <w:color w:val="auto"/>
          <w:sz w:val="44"/>
          <w:szCs w:val="44"/>
          <w:lang w:val="en-US" w:eastAsia="zh-CN"/>
        </w:rPr>
      </w:pPr>
    </w:p>
    <w:p>
      <w:pPr>
        <w:pStyle w:val="3"/>
        <w:widowControl/>
        <w:spacing w:before="0" w:beforeAutospacing="0" w:after="0" w:afterAutospacing="0" w:line="56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各市（地）生态环境局：</w:t>
      </w:r>
    </w:p>
    <w:p>
      <w:pPr>
        <w:pStyle w:val="3"/>
        <w:widowControl/>
        <w:spacing w:before="0" w:beforeAutospacing="0" w:after="0" w:afterAutospacing="0" w:line="560" w:lineRule="exact"/>
        <w:ind w:firstLine="640"/>
        <w:jc w:val="both"/>
        <w:rPr>
          <w:rFonts w:hint="default" w:ascii="仿宋_GB2312" w:hAnsi="仿宋_GB2312" w:eastAsia="仿宋_GB2312" w:cs="仿宋_GB2312"/>
          <w:color w:val="auto"/>
          <w:sz w:val="32"/>
          <w:szCs w:val="32"/>
          <w:lang w:val="en-US" w:eastAsia="zh-CN"/>
        </w:rPr>
      </w:pPr>
      <w:r>
        <w:rPr>
          <w:rFonts w:hint="default" w:ascii="Times New Roman" w:hAnsi="Times New Roman" w:cs="Times New Roman"/>
          <w:color w:val="auto"/>
          <w:sz w:val="32"/>
          <w:shd w:val="clear" w:color="auto" w:fill="FFFFFF"/>
        </w:rPr>
        <w:t>为贯彻落实</w:t>
      </w:r>
      <w:r>
        <w:rPr>
          <w:rFonts w:hint="eastAsia" w:cs="Times New Roman"/>
          <w:color w:val="auto"/>
          <w:sz w:val="32"/>
          <w:shd w:val="clear" w:color="auto" w:fill="FFFFFF"/>
          <w:lang w:eastAsia="zh-CN"/>
        </w:rPr>
        <w:t>党</w:t>
      </w:r>
      <w:r>
        <w:rPr>
          <w:rFonts w:hint="default" w:ascii="Times New Roman" w:hAnsi="Times New Roman" w:cs="Times New Roman"/>
          <w:color w:val="auto"/>
          <w:sz w:val="32"/>
          <w:shd w:val="clear" w:color="auto" w:fill="FFFFFF"/>
        </w:rPr>
        <w:t>中央、国务院关于优化政务服务的决策部署，推动</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高效办成一件事</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w:t>
      </w:r>
      <w:r>
        <w:rPr>
          <w:rFonts w:hint="eastAsia" w:cs="Times New Roman"/>
          <w:color w:val="auto"/>
          <w:sz w:val="32"/>
          <w:shd w:val="clear" w:color="auto" w:fill="FFFFFF"/>
          <w:lang w:eastAsia="zh-CN"/>
        </w:rPr>
        <w:t>按照</w:t>
      </w:r>
      <w:r>
        <w:rPr>
          <w:rFonts w:hint="default" w:ascii="Times New Roman" w:hAnsi="Times New Roman" w:cs="Times New Roman"/>
          <w:color w:val="auto"/>
          <w:sz w:val="32"/>
          <w:shd w:val="clear" w:color="auto" w:fill="FFFFFF"/>
        </w:rPr>
        <w:t>生态环境部关于进一步优化环境影响评价的要求，我厅组织制定了《</w:t>
      </w:r>
      <w:r>
        <w:rPr>
          <w:rFonts w:hint="eastAsia" w:cs="Times New Roman"/>
          <w:color w:val="auto"/>
          <w:sz w:val="32"/>
          <w:shd w:val="clear" w:color="auto" w:fill="FFFFFF"/>
          <w:lang w:eastAsia="zh-CN"/>
        </w:rPr>
        <w:t>黑龙江省</w:t>
      </w:r>
      <w:r>
        <w:rPr>
          <w:rFonts w:hint="default" w:ascii="Times New Roman" w:hAnsi="Times New Roman" w:cs="Times New Roman"/>
          <w:color w:val="auto"/>
          <w:sz w:val="32"/>
          <w:shd w:val="clear" w:color="auto" w:fill="FFFFFF"/>
        </w:rPr>
        <w:t>固定污染源环保许可</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一件事</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实施方案（试行）》。现印发给你们，请抓好落实。</w:t>
      </w:r>
    </w:p>
    <w:p>
      <w:pPr>
        <w:pStyle w:val="3"/>
        <w:widowControl/>
        <w:spacing w:before="0" w:beforeAutospacing="0" w:after="0" w:afterAutospacing="0" w:line="600" w:lineRule="exact"/>
        <w:ind w:firstLine="641"/>
        <w:jc w:val="both"/>
        <w:rPr>
          <w:rFonts w:hint="default" w:ascii="仿宋_GB2312" w:hAnsi="仿宋_GB2312" w:eastAsia="仿宋_GB2312" w:cs="仿宋_GB2312"/>
          <w:color w:val="auto"/>
          <w:sz w:val="32"/>
          <w:szCs w:val="32"/>
          <w:lang w:val="en-US" w:eastAsia="zh-CN"/>
        </w:rPr>
      </w:pPr>
    </w:p>
    <w:p>
      <w:pPr>
        <w:pStyle w:val="3"/>
        <w:widowControl/>
        <w:spacing w:before="0" w:beforeAutospacing="0" w:after="0" w:afterAutospacing="0" w:line="600" w:lineRule="exact"/>
        <w:ind w:firstLine="641"/>
        <w:jc w:val="both"/>
        <w:rPr>
          <w:rFonts w:hint="default" w:ascii="仿宋_GB2312" w:hAnsi="仿宋_GB2312" w:eastAsia="仿宋_GB2312" w:cs="仿宋_GB2312"/>
          <w:color w:val="auto"/>
          <w:sz w:val="32"/>
          <w:szCs w:val="32"/>
          <w:lang w:val="en-US" w:eastAsia="zh-CN"/>
        </w:rPr>
      </w:pPr>
    </w:p>
    <w:p>
      <w:pPr>
        <w:pStyle w:val="3"/>
        <w:widowControl/>
        <w:spacing w:before="0" w:beforeAutospacing="0" w:after="0" w:afterAutospacing="0" w:line="560" w:lineRule="exact"/>
        <w:ind w:firstLine="4480" w:firstLineChars="1400"/>
        <w:jc w:val="both"/>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黑龙江省生态环境厅办公室</w:t>
      </w:r>
    </w:p>
    <w:p>
      <w:pPr>
        <w:pStyle w:val="3"/>
        <w:widowControl/>
        <w:spacing w:before="0" w:beforeAutospacing="0" w:after="0" w:afterAutospacing="0" w:line="560" w:lineRule="exact"/>
        <w:ind w:firstLine="5120" w:firstLineChars="1600"/>
        <w:jc w:val="both"/>
        <w:rPr>
          <w:rFonts w:hint="default" w:ascii="Times New Roman" w:hAnsi="Times New Roman" w:eastAsia="仿宋_GB2312" w:cs="Times New Roman"/>
          <w:color w:val="auto"/>
          <w:sz w:val="32"/>
          <w:szCs w:val="32"/>
          <w:lang w:val="en-US" w:eastAsia="zh-CN"/>
        </w:rPr>
        <w:sectPr>
          <w:footerReference r:id="rId3" w:type="default"/>
          <w:pgSz w:w="11906" w:h="16838"/>
          <w:pgMar w:top="1701" w:right="1474" w:bottom="1701" w:left="1588" w:header="851" w:footer="992" w:gutter="0"/>
          <w:pgNumType w:fmt="decimal" w:start="1"/>
          <w:cols w:space="720" w:num="1"/>
          <w:rtlGutter w:val="0"/>
          <w:docGrid w:type="lines" w:linePitch="318" w:charSpace="0"/>
        </w:sectPr>
      </w:pP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月2日</w:t>
      </w:r>
    </w:p>
    <w:p>
      <w:pPr>
        <w:pStyle w:val="3"/>
        <w:widowControl/>
        <w:spacing w:before="0" w:beforeAutospacing="0" w:after="0" w:afterAutospacing="0" w:line="500" w:lineRule="exact"/>
        <w:jc w:val="center"/>
        <w:rPr>
          <w:rFonts w:hint="default" w:eastAsia="方正小标宋简体"/>
          <w:color w:val="auto"/>
          <w:sz w:val="44"/>
          <w:szCs w:val="44"/>
          <w:lang w:val="en-US" w:eastAsia="zh-CN"/>
        </w:rPr>
      </w:pPr>
      <w:r>
        <w:rPr>
          <w:rFonts w:hint="eastAsia" w:eastAsia="方正小标宋简体"/>
          <w:color w:val="auto"/>
          <w:sz w:val="44"/>
          <w:szCs w:val="44"/>
          <w:lang w:val="en-US" w:eastAsia="zh-CN"/>
        </w:rPr>
        <w:t xml:space="preserve">  </w:t>
      </w:r>
    </w:p>
    <w:p>
      <w:pPr>
        <w:pStyle w:val="3"/>
        <w:widowControl/>
        <w:spacing w:before="0" w:beforeAutospacing="0" w:after="0" w:afterAutospacing="0" w:line="580" w:lineRule="exact"/>
        <w:jc w:val="center"/>
        <w:rPr>
          <w:rFonts w:hint="eastAsia" w:eastAsia="方正小标宋简体"/>
          <w:color w:val="auto"/>
          <w:sz w:val="44"/>
          <w:szCs w:val="44"/>
          <w:lang w:val="en-US" w:eastAsia="zh-CN"/>
        </w:rPr>
      </w:pPr>
      <w:r>
        <w:rPr>
          <w:rFonts w:eastAsia="方正小标宋简体"/>
          <w:color w:val="auto"/>
          <w:sz w:val="44"/>
          <w:szCs w:val="44"/>
        </w:rPr>
        <w:t>黑龙江省</w:t>
      </w:r>
      <w:r>
        <w:rPr>
          <w:rFonts w:hint="eastAsia" w:eastAsia="方正小标宋简体"/>
          <w:color w:val="auto"/>
          <w:sz w:val="44"/>
          <w:szCs w:val="44"/>
          <w:lang w:val="en-US" w:eastAsia="zh-CN"/>
        </w:rPr>
        <w:t>固定污染源环保许可“一件事”</w:t>
      </w:r>
    </w:p>
    <w:p>
      <w:pPr>
        <w:pStyle w:val="3"/>
        <w:widowControl/>
        <w:spacing w:before="0" w:beforeAutospacing="0" w:after="0" w:afterAutospacing="0" w:line="580" w:lineRule="exact"/>
        <w:jc w:val="center"/>
        <w:rPr>
          <w:rFonts w:eastAsia="方正小标宋简体"/>
          <w:color w:val="auto"/>
          <w:sz w:val="44"/>
          <w:szCs w:val="44"/>
        </w:rPr>
      </w:pPr>
      <w:r>
        <w:rPr>
          <w:rFonts w:hint="eastAsia" w:eastAsia="方正小标宋简体"/>
          <w:color w:val="auto"/>
          <w:sz w:val="44"/>
          <w:szCs w:val="44"/>
        </w:rPr>
        <w:t>实施</w:t>
      </w:r>
      <w:r>
        <w:rPr>
          <w:rFonts w:eastAsia="方正小标宋简体"/>
          <w:color w:val="auto"/>
          <w:sz w:val="44"/>
          <w:szCs w:val="44"/>
        </w:rPr>
        <w:t>方案（试行）</w:t>
      </w:r>
    </w:p>
    <w:p>
      <w:pPr>
        <w:pStyle w:val="3"/>
        <w:widowControl/>
        <w:spacing w:before="0" w:beforeAutospacing="0" w:after="0" w:afterAutospacing="0" w:line="500" w:lineRule="exact"/>
        <w:jc w:val="both"/>
        <w:rPr>
          <w:rFonts w:eastAsia="仿宋"/>
          <w:color w:val="auto"/>
          <w:sz w:val="36"/>
          <w:szCs w:val="36"/>
        </w:rPr>
      </w:pPr>
    </w:p>
    <w:p>
      <w:pPr>
        <w:pStyle w:val="3"/>
        <w:widowControl/>
        <w:spacing w:before="0" w:beforeAutospacing="0" w:after="0" w:afterAutospacing="0" w:line="560" w:lineRule="exact"/>
        <w:ind w:firstLine="640" w:firstLineChars="200"/>
        <w:jc w:val="both"/>
        <w:rPr>
          <w:color w:val="auto"/>
          <w:sz w:val="32"/>
        </w:rPr>
      </w:pPr>
      <w:r>
        <w:rPr>
          <w:rFonts w:hint="default" w:ascii="Times New Roman" w:hAnsi="Times New Roman" w:cs="Times New Roman"/>
          <w:color w:val="auto"/>
          <w:sz w:val="32"/>
          <w:shd w:val="clear" w:color="auto" w:fill="FFFFFF"/>
        </w:rPr>
        <w:t>按照国务院《关于进一步优化政务服务提升行政效能推动</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高效办成一件事</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的指导意见》（国发〔2024〕3号）</w:t>
      </w:r>
      <w:r>
        <w:rPr>
          <w:rFonts w:hint="default" w:ascii="Times New Roman" w:hAnsi="Times New Roman"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生态环境部《关于进一步优化环境影响评价工作的意见》（环环评〔2023〕52号）等文件要求，进一步提升生态环境领域行政审批效率和涉企服务水平</w:t>
      </w:r>
      <w:r>
        <w:rPr>
          <w:rFonts w:hint="default" w:ascii="Times New Roman" w:hAnsi="Times New Roman" w:cs="Times New Roman"/>
          <w:color w:val="auto"/>
          <w:sz w:val="32"/>
        </w:rPr>
        <w:t>，高效办成</w:t>
      </w:r>
      <w:r>
        <w:rPr>
          <w:rFonts w:hint="default" w:ascii="Times New Roman" w:hAnsi="Times New Roman" w:cs="Times New Roman"/>
          <w:color w:val="auto"/>
          <w:sz w:val="32"/>
          <w:lang w:eastAsia="zh-CN"/>
        </w:rPr>
        <w:t>涉及</w:t>
      </w:r>
      <w:r>
        <w:rPr>
          <w:rFonts w:hint="default" w:ascii="Times New Roman" w:hAnsi="Times New Roman" w:cs="Times New Roman"/>
          <w:color w:val="auto"/>
          <w:sz w:val="32"/>
        </w:rPr>
        <w:t>入河排污口设置、建设项目环境影响评价、排污许可</w:t>
      </w:r>
      <w:r>
        <w:rPr>
          <w:rFonts w:hint="default" w:ascii="Times New Roman" w:hAnsi="Times New Roman" w:cs="Times New Roman"/>
          <w:color w:val="auto"/>
          <w:sz w:val="32"/>
          <w:lang w:eastAsia="zh-CN"/>
        </w:rPr>
        <w:t>的</w:t>
      </w:r>
      <w:r>
        <w:rPr>
          <w:rFonts w:hint="eastAsia" w:cs="Times New Roman"/>
          <w:color w:val="auto"/>
          <w:sz w:val="32"/>
          <w:lang w:eastAsia="zh-CN"/>
        </w:rPr>
        <w:t>“</w:t>
      </w:r>
      <w:r>
        <w:rPr>
          <w:rFonts w:hint="default" w:ascii="Times New Roman" w:hAnsi="Times New Roman" w:cs="Times New Roman"/>
          <w:color w:val="auto"/>
          <w:sz w:val="32"/>
          <w:lang w:val="en-US" w:eastAsia="zh-CN"/>
        </w:rPr>
        <w:t>固定污染源环保许可</w:t>
      </w:r>
      <w:r>
        <w:rPr>
          <w:rFonts w:hint="default" w:ascii="Times New Roman" w:hAnsi="Times New Roman" w:cs="Times New Roman"/>
          <w:color w:val="auto"/>
          <w:sz w:val="32"/>
        </w:rPr>
        <w:t>一件事</w:t>
      </w:r>
      <w:r>
        <w:rPr>
          <w:rFonts w:hint="eastAsia" w:cs="Times New Roman"/>
          <w:color w:val="auto"/>
          <w:sz w:val="32"/>
          <w:lang w:eastAsia="zh-CN"/>
        </w:rPr>
        <w:t>”</w:t>
      </w:r>
      <w:r>
        <w:rPr>
          <w:rFonts w:hint="default" w:ascii="Times New Roman" w:hAnsi="Times New Roman" w:cs="Times New Roman"/>
          <w:color w:val="auto"/>
          <w:sz w:val="32"/>
        </w:rPr>
        <w:t>，持续</w:t>
      </w:r>
      <w:r>
        <w:rPr>
          <w:rFonts w:hint="default" w:ascii="Times New Roman" w:hAnsi="Times New Roman" w:cs="Times New Roman"/>
          <w:color w:val="auto"/>
          <w:sz w:val="32"/>
          <w:shd w:val="clear" w:color="auto" w:fill="FFFFFF"/>
        </w:rPr>
        <w:t>优化营商环境，</w:t>
      </w:r>
      <w:r>
        <w:rPr>
          <w:rFonts w:hint="default" w:ascii="Times New Roman" w:hAnsi="Times New Roman" w:cs="Times New Roman"/>
          <w:color w:val="auto"/>
          <w:sz w:val="32"/>
        </w:rPr>
        <w:t>服务经济高质量发展，制定本方案。</w:t>
      </w:r>
    </w:p>
    <w:p>
      <w:pPr>
        <w:pStyle w:val="3"/>
        <w:widowControl/>
        <w:spacing w:before="0" w:beforeAutospacing="0" w:after="0" w:afterAutospacing="0" w:line="560" w:lineRule="exact"/>
        <w:ind w:firstLine="640" w:firstLineChars="200"/>
        <w:jc w:val="both"/>
        <w:rPr>
          <w:rFonts w:eastAsia="黑体"/>
          <w:bCs/>
          <w:color w:val="auto"/>
          <w:sz w:val="32"/>
        </w:rPr>
      </w:pPr>
      <w:r>
        <w:rPr>
          <w:rStyle w:val="6"/>
          <w:rFonts w:eastAsia="黑体"/>
          <w:b w:val="0"/>
          <w:bCs/>
          <w:color w:val="auto"/>
          <w:sz w:val="32"/>
        </w:rPr>
        <w:t>一、总体目标</w:t>
      </w:r>
    </w:p>
    <w:p>
      <w:pPr>
        <w:pStyle w:val="3"/>
        <w:widowControl/>
        <w:spacing w:before="0" w:beforeAutospacing="0" w:after="0" w:afterAutospacing="0" w:line="560" w:lineRule="exact"/>
        <w:ind w:firstLine="640" w:firstLineChars="200"/>
        <w:jc w:val="both"/>
        <w:rPr>
          <w:color w:val="auto"/>
          <w:sz w:val="32"/>
          <w:shd w:val="clear" w:color="auto" w:fill="FFFFFF"/>
        </w:rPr>
      </w:pPr>
      <w:r>
        <w:rPr>
          <w:rFonts w:hint="eastAsia"/>
          <w:color w:val="auto"/>
          <w:sz w:val="32"/>
          <w:shd w:val="clear" w:color="auto" w:fill="FFFFFF"/>
        </w:rPr>
        <w:t>坚持以企业需求为导向，整合部门内部资源，强化衔接联动与信息共享，进一步优化办理流程，推动生态环境领域入河排污口设置、</w:t>
      </w:r>
      <w:r>
        <w:rPr>
          <w:color w:val="auto"/>
          <w:sz w:val="32"/>
        </w:rPr>
        <w:t>建设项目环境影响评价</w:t>
      </w:r>
      <w:r>
        <w:rPr>
          <w:rFonts w:hint="eastAsia"/>
          <w:color w:val="auto"/>
          <w:sz w:val="32"/>
        </w:rPr>
        <w:t>、排污许可</w:t>
      </w:r>
      <w:r>
        <w:rPr>
          <w:rFonts w:hint="eastAsia"/>
          <w:color w:val="auto"/>
          <w:sz w:val="32"/>
          <w:shd w:val="clear" w:color="auto" w:fill="FFFFFF"/>
        </w:rPr>
        <w:t>等审批手续集成办理，实现</w:t>
      </w:r>
      <w:r>
        <w:rPr>
          <w:rFonts w:hint="eastAsia"/>
          <w:color w:val="auto"/>
          <w:sz w:val="32"/>
          <w:shd w:val="clear" w:color="auto" w:fill="FFFFFF"/>
          <w:lang w:eastAsia="zh-CN"/>
        </w:rPr>
        <w:t>“</w:t>
      </w:r>
      <w:r>
        <w:rPr>
          <w:rFonts w:hint="eastAsia"/>
          <w:color w:val="auto"/>
          <w:sz w:val="32"/>
          <w:shd w:val="clear" w:color="auto" w:fill="FFFFFF"/>
        </w:rPr>
        <w:t>一次受理、一次办成、一次办好</w:t>
      </w:r>
      <w:r>
        <w:rPr>
          <w:rFonts w:hint="eastAsia"/>
          <w:color w:val="auto"/>
          <w:sz w:val="32"/>
          <w:shd w:val="clear" w:color="auto" w:fill="FFFFFF"/>
          <w:lang w:eastAsia="zh-CN"/>
        </w:rPr>
        <w:t>”</w:t>
      </w:r>
      <w:r>
        <w:rPr>
          <w:rFonts w:hint="eastAsia"/>
          <w:color w:val="auto"/>
          <w:sz w:val="32"/>
          <w:shd w:val="clear" w:color="auto" w:fill="FFFFFF"/>
        </w:rPr>
        <w:t>（以下简称</w:t>
      </w:r>
      <w:r>
        <w:rPr>
          <w:rFonts w:hint="eastAsia"/>
          <w:color w:val="auto"/>
          <w:sz w:val="32"/>
          <w:shd w:val="clear" w:color="auto" w:fill="FFFFFF"/>
          <w:lang w:eastAsia="zh-CN"/>
        </w:rPr>
        <w:t>“</w:t>
      </w:r>
      <w:r>
        <w:rPr>
          <w:rFonts w:hint="eastAsia"/>
          <w:color w:val="auto"/>
          <w:sz w:val="32"/>
          <w:shd w:val="clear" w:color="auto" w:fill="FFFFFF"/>
        </w:rPr>
        <w:t>一件事</w:t>
      </w:r>
      <w:r>
        <w:rPr>
          <w:rFonts w:hint="eastAsia"/>
          <w:color w:val="auto"/>
          <w:sz w:val="32"/>
          <w:shd w:val="clear" w:color="auto" w:fill="FFFFFF"/>
          <w:lang w:eastAsia="zh-CN"/>
        </w:rPr>
        <w:t>”</w:t>
      </w:r>
      <w:r>
        <w:rPr>
          <w:rFonts w:hint="eastAsia"/>
          <w:color w:val="auto"/>
          <w:sz w:val="32"/>
          <w:shd w:val="clear" w:color="auto" w:fill="FFFFFF"/>
        </w:rPr>
        <w:t>），切实提高行政审批效率和服务质量，持续提升企业和群众满意度、获得感。</w:t>
      </w:r>
    </w:p>
    <w:p>
      <w:pPr>
        <w:pStyle w:val="3"/>
        <w:widowControl/>
        <w:spacing w:before="0" w:beforeAutospacing="0" w:after="0" w:afterAutospacing="0" w:line="560" w:lineRule="exact"/>
        <w:ind w:firstLine="640" w:firstLineChars="200"/>
        <w:jc w:val="both"/>
        <w:rPr>
          <w:rStyle w:val="6"/>
          <w:rFonts w:eastAsia="黑体"/>
          <w:b w:val="0"/>
          <w:bCs/>
          <w:color w:val="auto"/>
          <w:sz w:val="32"/>
        </w:rPr>
      </w:pPr>
      <w:r>
        <w:rPr>
          <w:rStyle w:val="6"/>
          <w:rFonts w:eastAsia="黑体"/>
          <w:b w:val="0"/>
          <w:bCs/>
          <w:color w:val="auto"/>
          <w:sz w:val="32"/>
        </w:rPr>
        <w:t>二、实施范围</w:t>
      </w:r>
    </w:p>
    <w:p>
      <w:pPr>
        <w:pStyle w:val="3"/>
        <w:widowControl/>
        <w:spacing w:before="0" w:beforeAutospacing="0" w:after="0" w:afterAutospacing="0" w:line="560" w:lineRule="exact"/>
        <w:ind w:firstLine="640" w:firstLineChars="200"/>
        <w:jc w:val="both"/>
        <w:rPr>
          <w:color w:val="auto"/>
          <w:sz w:val="32"/>
        </w:rPr>
      </w:pPr>
      <w:r>
        <w:rPr>
          <w:color w:val="auto"/>
          <w:sz w:val="32"/>
        </w:rPr>
        <w:t>适用于</w:t>
      </w:r>
      <w:r>
        <w:rPr>
          <w:rFonts w:hint="eastAsia"/>
          <w:color w:val="auto"/>
          <w:sz w:val="32"/>
          <w:lang w:eastAsia="zh-CN"/>
        </w:rPr>
        <w:t>“</w:t>
      </w:r>
      <w:r>
        <w:rPr>
          <w:color w:val="auto"/>
          <w:sz w:val="32"/>
        </w:rPr>
        <w:t>一件事</w:t>
      </w:r>
      <w:r>
        <w:rPr>
          <w:rFonts w:hint="eastAsia"/>
          <w:color w:val="auto"/>
          <w:sz w:val="32"/>
          <w:lang w:eastAsia="zh-CN"/>
        </w:rPr>
        <w:t>”</w:t>
      </w:r>
      <w:r>
        <w:rPr>
          <w:color w:val="auto"/>
          <w:sz w:val="32"/>
        </w:rPr>
        <w:t>的建设项目应当同时满足以下两个条件：</w:t>
      </w:r>
    </w:p>
    <w:p>
      <w:pPr>
        <w:pStyle w:val="3"/>
        <w:widowControl/>
        <w:spacing w:before="0" w:beforeAutospacing="0" w:after="0" w:afterAutospacing="0" w:line="560" w:lineRule="exact"/>
        <w:ind w:firstLine="640" w:firstLineChars="200"/>
        <w:jc w:val="both"/>
        <w:rPr>
          <w:color w:val="auto"/>
          <w:sz w:val="32"/>
        </w:rPr>
      </w:pPr>
      <w:r>
        <w:rPr>
          <w:color w:val="auto"/>
          <w:sz w:val="32"/>
        </w:rPr>
        <w:t>（一）</w:t>
      </w:r>
      <w:r>
        <w:rPr>
          <w:rFonts w:hint="eastAsia"/>
          <w:color w:val="auto"/>
          <w:sz w:val="32"/>
        </w:rPr>
        <w:t>依据有关规定，需办理</w:t>
      </w:r>
      <w:r>
        <w:rPr>
          <w:color w:val="auto"/>
          <w:sz w:val="32"/>
        </w:rPr>
        <w:t>入河排污口设置</w:t>
      </w:r>
      <w:r>
        <w:rPr>
          <w:rFonts w:hint="eastAsia"/>
          <w:color w:val="auto"/>
          <w:sz w:val="32"/>
        </w:rPr>
        <w:t>、</w:t>
      </w:r>
      <w:r>
        <w:rPr>
          <w:color w:val="auto"/>
          <w:sz w:val="32"/>
        </w:rPr>
        <w:t>建设项目环境影响评价</w:t>
      </w:r>
      <w:r>
        <w:rPr>
          <w:rFonts w:hint="eastAsia"/>
          <w:color w:val="auto"/>
          <w:sz w:val="32"/>
        </w:rPr>
        <w:t>、排污许可两项及以上环保手续的建设项目。</w:t>
      </w:r>
    </w:p>
    <w:p>
      <w:pPr>
        <w:pStyle w:val="3"/>
        <w:widowControl/>
        <w:spacing w:before="0" w:beforeAutospacing="0" w:after="0" w:afterAutospacing="0" w:line="560" w:lineRule="exact"/>
        <w:ind w:firstLine="640" w:firstLineChars="200"/>
        <w:jc w:val="both"/>
        <w:rPr>
          <w:color w:val="auto"/>
          <w:sz w:val="32"/>
        </w:rPr>
      </w:pPr>
      <w:r>
        <w:rPr>
          <w:color w:val="auto"/>
          <w:sz w:val="32"/>
        </w:rPr>
        <w:t>（二）根据现行审批管理权限，</w:t>
      </w:r>
      <w:r>
        <w:rPr>
          <w:rFonts w:hint="eastAsia"/>
          <w:color w:val="auto"/>
          <w:sz w:val="32"/>
        </w:rPr>
        <w:t>所办</w:t>
      </w:r>
      <w:r>
        <w:rPr>
          <w:color w:val="auto"/>
          <w:sz w:val="32"/>
        </w:rPr>
        <w:t>事项</w:t>
      </w:r>
      <w:r>
        <w:rPr>
          <w:rFonts w:hint="eastAsia"/>
          <w:color w:val="auto"/>
          <w:sz w:val="32"/>
        </w:rPr>
        <w:t>属同一单位的审批事权范围</w:t>
      </w:r>
      <w:r>
        <w:rPr>
          <w:color w:val="auto"/>
          <w:sz w:val="32"/>
        </w:rPr>
        <w:t>。</w:t>
      </w:r>
    </w:p>
    <w:p>
      <w:pPr>
        <w:pStyle w:val="3"/>
        <w:widowControl/>
        <w:spacing w:before="0" w:beforeAutospacing="0" w:after="0" w:afterAutospacing="0" w:line="580" w:lineRule="exact"/>
        <w:ind w:firstLine="640" w:firstLineChars="200"/>
        <w:jc w:val="both"/>
        <w:rPr>
          <w:rStyle w:val="6"/>
          <w:rFonts w:eastAsia="黑体"/>
          <w:b w:val="0"/>
          <w:bCs/>
          <w:color w:val="auto"/>
          <w:sz w:val="32"/>
        </w:rPr>
      </w:pPr>
      <w:r>
        <w:rPr>
          <w:rStyle w:val="6"/>
          <w:rFonts w:eastAsia="黑体"/>
          <w:b w:val="0"/>
          <w:bCs/>
          <w:color w:val="auto"/>
          <w:sz w:val="32"/>
        </w:rPr>
        <w:t>三、实施程序</w:t>
      </w:r>
    </w:p>
    <w:p>
      <w:pPr>
        <w:pStyle w:val="3"/>
        <w:widowControl/>
        <w:spacing w:before="0" w:beforeAutospacing="0" w:after="0" w:afterAutospacing="0" w:line="580" w:lineRule="exact"/>
        <w:ind w:firstLine="640" w:firstLineChars="200"/>
        <w:jc w:val="both"/>
        <w:rPr>
          <w:rFonts w:hint="default" w:ascii="Times New Roman" w:hAnsi="Times New Roman" w:cs="Times New Roman"/>
          <w:color w:val="auto"/>
          <w:sz w:val="32"/>
        </w:rPr>
      </w:pPr>
      <w:r>
        <w:rPr>
          <w:rFonts w:hint="default" w:ascii="Times New Roman" w:hAnsi="Times New Roman" w:cs="Times New Roman"/>
          <w:color w:val="auto"/>
          <w:sz w:val="32"/>
          <w:shd w:val="clear" w:color="auto" w:fill="FFFFFF"/>
        </w:rPr>
        <w:t>并联审批模式遵循企业自愿原则，依托黑龙江省</w:t>
      </w:r>
      <w:r>
        <w:rPr>
          <w:rFonts w:hint="eastAsia" w:ascii="Times New Roman" w:hAnsi="Times New Roman" w:cs="Times New Roman"/>
          <w:color w:val="auto"/>
          <w:sz w:val="32"/>
          <w:shd w:val="clear" w:color="auto" w:fill="FFFFFF"/>
          <w:lang w:eastAsia="zh-CN"/>
        </w:rPr>
        <w:t>政务服务网</w:t>
      </w:r>
      <w:r>
        <w:rPr>
          <w:rFonts w:hint="eastAsia" w:cs="Times New Roman"/>
          <w:color w:val="auto"/>
          <w:sz w:val="32"/>
          <w:shd w:val="clear" w:color="auto" w:fill="FFFFFF"/>
          <w:lang w:val="en-US" w:eastAsia="zh-CN"/>
        </w:rPr>
        <w:t>“</w:t>
      </w:r>
      <w:r>
        <w:rPr>
          <w:rFonts w:hint="default" w:ascii="Times New Roman" w:hAnsi="Times New Roman" w:cs="Times New Roman"/>
          <w:color w:val="auto"/>
          <w:sz w:val="32"/>
          <w:shd w:val="clear" w:color="auto" w:fill="FFFFFF"/>
          <w:lang w:val="en-US" w:eastAsia="zh-CN"/>
        </w:rPr>
        <w:t>高效办成一件事</w:t>
      </w:r>
      <w:r>
        <w:rPr>
          <w:rFonts w:hint="eastAsia" w:cs="Times New Roman"/>
          <w:color w:val="auto"/>
          <w:sz w:val="32"/>
          <w:shd w:val="clear" w:color="auto" w:fill="FFFFFF"/>
          <w:lang w:val="en-US" w:eastAsia="zh-CN"/>
        </w:rPr>
        <w:t>”</w:t>
      </w:r>
      <w:r>
        <w:rPr>
          <w:rFonts w:hint="default" w:ascii="Times New Roman" w:hAnsi="Times New Roman" w:cs="Times New Roman"/>
          <w:color w:val="auto"/>
          <w:sz w:val="32"/>
          <w:shd w:val="clear" w:color="auto" w:fill="FFFFFF"/>
          <w:lang w:val="en-US" w:eastAsia="zh-CN"/>
        </w:rPr>
        <w:t>专栏</w:t>
      </w:r>
      <w:r>
        <w:rPr>
          <w:rFonts w:hint="default" w:ascii="Times New Roman" w:hAnsi="Times New Roman" w:cs="Times New Roman"/>
          <w:color w:val="auto"/>
          <w:sz w:val="32"/>
          <w:shd w:val="clear" w:color="auto" w:fill="FFFFFF"/>
        </w:rPr>
        <w:t>，设立</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lang w:val="en-US" w:eastAsia="zh-CN"/>
        </w:rPr>
        <w:t>固定污染源环保许可一件事</w:t>
      </w:r>
      <w:r>
        <w:rPr>
          <w:rFonts w:hint="eastAsia" w:cs="Times New Roman"/>
          <w:color w:val="auto"/>
          <w:sz w:val="32"/>
          <w:shd w:val="clear" w:color="auto" w:fill="FFFFFF"/>
          <w:lang w:eastAsia="zh-CN"/>
        </w:rPr>
        <w:t>”</w:t>
      </w:r>
      <w:r>
        <w:rPr>
          <w:rFonts w:hint="eastAsia" w:ascii="Times New Roman" w:hAnsi="Times New Roman" w:cs="Times New Roman"/>
          <w:color w:val="auto"/>
          <w:sz w:val="32"/>
          <w:shd w:val="clear" w:color="auto" w:fill="FFFFFF"/>
          <w:lang w:eastAsia="zh-CN"/>
        </w:rPr>
        <w:t>服务专区</w:t>
      </w:r>
      <w:r>
        <w:rPr>
          <w:rFonts w:hint="default" w:ascii="Times New Roman" w:hAnsi="Times New Roman" w:cs="Times New Roman"/>
          <w:color w:val="auto"/>
          <w:sz w:val="32"/>
          <w:shd w:val="clear" w:color="auto" w:fill="FFFFFF"/>
        </w:rPr>
        <w:t>，作为事项办理的唯一线上入口。各审批部门在规定时限内协同开展实质审查、条件互认、意见会商等工作，高效推进全流程审批。审批完成后，各部门按职责出具对应文书（如审核意见、环评批复、许可证等），企业可线上下载电子文书或到窗口领取纸质文书。实现入河排污口、</w:t>
      </w:r>
      <w:r>
        <w:rPr>
          <w:color w:val="auto"/>
          <w:sz w:val="32"/>
        </w:rPr>
        <w:t>建设项目环境影响评价</w:t>
      </w:r>
      <w:r>
        <w:rPr>
          <w:rFonts w:hint="eastAsia"/>
          <w:color w:val="auto"/>
          <w:sz w:val="32"/>
        </w:rPr>
        <w:t>、</w:t>
      </w:r>
      <w:r>
        <w:rPr>
          <w:rFonts w:hint="default" w:ascii="Times New Roman" w:hAnsi="Times New Roman" w:cs="Times New Roman"/>
          <w:color w:val="auto"/>
          <w:sz w:val="32"/>
          <w:shd w:val="clear" w:color="auto" w:fill="FFFFFF"/>
        </w:rPr>
        <w:t>排污许可</w:t>
      </w:r>
      <w:r>
        <w:rPr>
          <w:rFonts w:hint="eastAsia" w:ascii="Times New Roman" w:hAnsi="Times New Roman" w:cs="Times New Roman"/>
          <w:color w:val="auto"/>
          <w:sz w:val="32"/>
          <w:shd w:val="clear" w:color="auto" w:fill="FFFFFF"/>
          <w:lang w:eastAsia="zh-CN"/>
        </w:rPr>
        <w:t>事项</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一口受理、一次告知、一站办结</w:t>
      </w:r>
      <w:r>
        <w:rPr>
          <w:rFonts w:hint="eastAsia" w:cs="Times New Roman"/>
          <w:color w:val="auto"/>
          <w:sz w:val="32"/>
          <w:shd w:val="clear" w:color="auto" w:fill="FFFFFF"/>
          <w:lang w:eastAsia="zh-CN"/>
        </w:rPr>
        <w:t>”</w:t>
      </w:r>
      <w:r>
        <w:rPr>
          <w:rFonts w:hint="default" w:ascii="Times New Roman" w:hAnsi="Times New Roman" w:cs="Times New Roman"/>
          <w:color w:val="auto"/>
          <w:sz w:val="32"/>
          <w:shd w:val="clear" w:color="auto" w:fill="FFFFFF"/>
        </w:rPr>
        <w:t>，</w:t>
      </w:r>
      <w:r>
        <w:rPr>
          <w:rFonts w:hint="default" w:ascii="Times New Roman" w:hAnsi="Times New Roman" w:cs="Times New Roman"/>
          <w:color w:val="auto"/>
          <w:sz w:val="32"/>
        </w:rPr>
        <w:t>主要办理流程如下：</w:t>
      </w:r>
    </w:p>
    <w:p>
      <w:pPr>
        <w:pStyle w:val="3"/>
        <w:widowControl/>
        <w:numPr>
          <w:ilvl w:val="0"/>
          <w:numId w:val="1"/>
        </w:numPr>
        <w:spacing w:before="0" w:beforeAutospacing="0" w:after="0" w:afterAutospacing="0" w:line="580" w:lineRule="exact"/>
        <w:ind w:firstLine="640" w:firstLineChars="200"/>
        <w:jc w:val="both"/>
        <w:rPr>
          <w:rFonts w:hint="eastAsia" w:ascii="仿宋_GB2312" w:hAnsi="仿宋_GB2312" w:eastAsia="仿宋_GB2312" w:cs="仿宋_GB2312"/>
          <w:color w:val="auto"/>
          <w:sz w:val="32"/>
        </w:rPr>
      </w:pPr>
      <w:r>
        <w:rPr>
          <w:rFonts w:hint="default" w:ascii="Times New Roman" w:hAnsi="Times New Roman" w:cs="Times New Roman"/>
          <w:color w:val="auto"/>
          <w:sz w:val="32"/>
        </w:rPr>
        <w:t>申请环节。申请人在黑龙江省政务服务网或</w:t>
      </w:r>
      <w:r>
        <w:rPr>
          <w:rFonts w:hint="eastAsia" w:cs="Times New Roman"/>
          <w:color w:val="auto"/>
          <w:sz w:val="32"/>
          <w:lang w:eastAsia="zh-CN"/>
        </w:rPr>
        <w:t>“</w:t>
      </w:r>
      <w:r>
        <w:rPr>
          <w:rFonts w:hint="default" w:ascii="Times New Roman" w:hAnsi="Times New Roman" w:cs="Times New Roman"/>
          <w:color w:val="auto"/>
          <w:sz w:val="32"/>
        </w:rPr>
        <w:t>龙易办</w:t>
      </w:r>
      <w:r>
        <w:rPr>
          <w:rFonts w:hint="eastAsia" w:cs="Times New Roman"/>
          <w:color w:val="auto"/>
          <w:sz w:val="32"/>
          <w:lang w:eastAsia="zh-CN"/>
        </w:rPr>
        <w:t>”</w:t>
      </w:r>
      <w:r>
        <w:rPr>
          <w:rFonts w:hint="default" w:ascii="Times New Roman" w:hAnsi="Times New Roman" w:cs="Times New Roman"/>
          <w:color w:val="auto"/>
          <w:sz w:val="32"/>
        </w:rPr>
        <w:t>APP中选择</w:t>
      </w:r>
      <w:r>
        <w:rPr>
          <w:rFonts w:hint="eastAsia" w:cs="Times New Roman"/>
          <w:color w:val="auto"/>
          <w:sz w:val="32"/>
          <w:lang w:eastAsia="zh-CN"/>
        </w:rPr>
        <w:t>“</w:t>
      </w:r>
      <w:r>
        <w:rPr>
          <w:rFonts w:hint="default" w:ascii="Times New Roman" w:hAnsi="Times New Roman" w:cs="Times New Roman"/>
          <w:color w:val="auto"/>
          <w:sz w:val="32"/>
          <w:shd w:val="clear" w:color="auto" w:fill="FFFFFF"/>
          <w:lang w:val="en-US" w:eastAsia="zh-CN"/>
        </w:rPr>
        <w:t>固定污染源环保许可一件事</w:t>
      </w:r>
      <w:r>
        <w:rPr>
          <w:rFonts w:hint="eastAsia" w:cs="Times New Roman"/>
          <w:color w:val="auto"/>
          <w:sz w:val="32"/>
          <w:lang w:eastAsia="zh-CN"/>
        </w:rPr>
        <w:t>”</w:t>
      </w:r>
      <w:r>
        <w:rPr>
          <w:rFonts w:hint="default" w:ascii="Times New Roman" w:hAnsi="Times New Roman" w:cs="Times New Roman"/>
          <w:color w:val="auto"/>
          <w:sz w:val="32"/>
        </w:rPr>
        <w:t>专区，根据需要选择进入所办事项，</w:t>
      </w:r>
      <w:r>
        <w:rPr>
          <w:rFonts w:hint="eastAsia" w:ascii="仿宋_GB2312" w:hAnsi="仿宋_GB2312" w:cs="仿宋_GB2312"/>
          <w:color w:val="auto"/>
          <w:sz w:val="32"/>
        </w:rPr>
        <w:t>按照</w:t>
      </w:r>
      <w:r>
        <w:rPr>
          <w:rFonts w:hint="eastAsia" w:ascii="仿宋_GB2312" w:hAnsi="仿宋_GB2312" w:eastAsia="仿宋_GB2312" w:cs="仿宋_GB2312"/>
          <w:color w:val="auto"/>
          <w:kern w:val="2"/>
          <w:sz w:val="32"/>
          <w:szCs w:val="32"/>
          <w:lang w:val="en-US" w:eastAsia="zh-CN" w:bidi="ar-SA"/>
        </w:rPr>
        <w:t>智能引导</w:t>
      </w:r>
      <w:r>
        <w:rPr>
          <w:rFonts w:hint="eastAsia" w:ascii="仿宋_GB2312" w:hAnsi="仿宋_GB2312" w:cs="仿宋_GB2312"/>
          <w:color w:val="auto"/>
          <w:sz w:val="32"/>
        </w:rPr>
        <w:t>完成表单填报与材料上传。</w:t>
      </w:r>
    </w:p>
    <w:p>
      <w:pPr>
        <w:pStyle w:val="3"/>
        <w:widowControl/>
        <w:spacing w:before="0" w:beforeAutospacing="0" w:after="0" w:afterAutospacing="0" w:line="580" w:lineRule="exact"/>
        <w:ind w:firstLine="640" w:firstLineChars="200"/>
        <w:jc w:val="both"/>
        <w:rPr>
          <w:rFonts w:hint="default" w:ascii="Times New Roman" w:hAnsi="Times New Roman" w:cs="Times New Roman"/>
          <w:color w:val="auto"/>
          <w:sz w:val="32"/>
        </w:rPr>
      </w:pPr>
      <w:r>
        <w:rPr>
          <w:rFonts w:hint="default" w:ascii="Times New Roman" w:hAnsi="Times New Roman" w:cs="Times New Roman"/>
          <w:color w:val="auto"/>
          <w:sz w:val="32"/>
        </w:rPr>
        <w:t>（二）受理环节。</w:t>
      </w:r>
      <w:r>
        <w:rPr>
          <w:rFonts w:hint="default" w:ascii="Times New Roman" w:hAnsi="Times New Roman" w:eastAsia="仿宋_GB2312" w:cs="Times New Roman"/>
          <w:color w:val="auto"/>
          <w:sz w:val="32"/>
        </w:rPr>
        <w:t>相关审批部门同步对企业提交的并联审批事项申请材料进行形式审查，主要包括是否符合并联审批实施范围要求、申请材料是否齐全或者符合法定形式等内容。经审查不符合要求的，不予受理并告知</w:t>
      </w:r>
      <w:r>
        <w:rPr>
          <w:rFonts w:hint="eastAsia" w:cs="Times New Roman"/>
          <w:color w:val="auto"/>
          <w:sz w:val="32"/>
          <w:lang w:eastAsia="zh-CN"/>
        </w:rPr>
        <w:t>申请人</w:t>
      </w:r>
      <w:r>
        <w:rPr>
          <w:rFonts w:hint="default" w:ascii="Times New Roman" w:hAnsi="Times New Roman" w:eastAsia="仿宋_GB2312" w:cs="Times New Roman"/>
          <w:color w:val="auto"/>
          <w:sz w:val="32"/>
        </w:rPr>
        <w:t>；符合要求的，按程序统一受理。</w:t>
      </w:r>
    </w:p>
    <w:p>
      <w:pPr>
        <w:pStyle w:val="3"/>
        <w:widowControl/>
        <w:spacing w:before="0" w:beforeAutospacing="0" w:after="0" w:afterAutospacing="0" w:line="580" w:lineRule="exact"/>
        <w:ind w:firstLine="640" w:firstLineChars="200"/>
        <w:jc w:val="both"/>
        <w:rPr>
          <w:rFonts w:hint="eastAsia" w:ascii="仿宋_GB2312" w:hAnsi="仿宋_GB2312" w:cs="仿宋_GB2312"/>
          <w:color w:val="auto"/>
          <w:sz w:val="32"/>
        </w:rPr>
      </w:pPr>
      <w:r>
        <w:rPr>
          <w:rFonts w:hint="eastAsia" w:ascii="仿宋_GB2312" w:hAnsi="仿宋_GB2312" w:cs="仿宋_GB2312"/>
          <w:color w:val="auto"/>
          <w:sz w:val="32"/>
        </w:rPr>
        <w:t>（三）审查环节。受理通过后，相关审批部门同步对并联审批事项申请材料开展实质性审查。审查过程中，相关审批部门应结合实际联合开展现场踏勘、专家评审/技术评估等，提高审批工作效率。</w:t>
      </w:r>
    </w:p>
    <w:p>
      <w:pPr>
        <w:pStyle w:val="3"/>
        <w:widowControl/>
        <w:spacing w:before="0" w:beforeAutospacing="0" w:after="0" w:afterAutospacing="0" w:line="560" w:lineRule="exact"/>
        <w:ind w:firstLine="640" w:firstLineChars="200"/>
        <w:jc w:val="both"/>
        <w:rPr>
          <w:rFonts w:hint="default" w:ascii="Times New Roman" w:hAnsi="Times New Roman" w:cs="Times New Roman"/>
          <w:color w:val="auto"/>
          <w:sz w:val="32"/>
        </w:rPr>
      </w:pPr>
      <w:r>
        <w:rPr>
          <w:rFonts w:hint="eastAsia" w:ascii="仿宋_GB2312" w:hAnsi="仿宋_GB2312" w:cs="仿宋_GB2312"/>
          <w:color w:val="auto"/>
          <w:sz w:val="32"/>
        </w:rPr>
        <w:t>（四）审批环节。</w:t>
      </w:r>
      <w:r>
        <w:rPr>
          <w:rFonts w:hint="default" w:ascii="Times New Roman" w:hAnsi="Times New Roman" w:eastAsia="仿宋_GB2312" w:cs="Times New Roman"/>
          <w:color w:val="auto"/>
          <w:sz w:val="32"/>
        </w:rPr>
        <w:t>通过技术审查且符合审批要求的，相关审批部门应在审批承诺的15个工作日内作出审批决定，并向企业分别出具审批文件；对不符合审批要求的事项不予许可并书面说明理由。</w:t>
      </w:r>
    </w:p>
    <w:p>
      <w:pPr>
        <w:pStyle w:val="3"/>
        <w:widowControl/>
        <w:spacing w:before="0" w:beforeAutospacing="0" w:after="0" w:afterAutospacing="0" w:line="560" w:lineRule="exact"/>
        <w:ind w:firstLine="640" w:firstLineChars="200"/>
        <w:jc w:val="both"/>
        <w:rPr>
          <w:rFonts w:hint="default" w:ascii="Times New Roman" w:hAnsi="Times New Roman" w:eastAsia="仿宋_GB2312" w:cs="Times New Roman"/>
          <w:color w:val="auto"/>
          <w:sz w:val="32"/>
        </w:rPr>
      </w:pPr>
      <w:r>
        <w:rPr>
          <w:rFonts w:hint="default" w:ascii="Times New Roman" w:hAnsi="Times New Roman" w:cs="Times New Roman"/>
          <w:color w:val="auto"/>
          <w:sz w:val="32"/>
        </w:rPr>
        <w:t>（五）公示环节。</w:t>
      </w:r>
      <w:r>
        <w:rPr>
          <w:rFonts w:hint="default" w:ascii="Times New Roman" w:hAnsi="Times New Roman" w:eastAsia="仿宋_GB2312" w:cs="Times New Roman"/>
          <w:color w:val="auto"/>
          <w:sz w:val="32"/>
        </w:rPr>
        <w:t>相关审批事项涉及公示公告要求的，分别按照相应事项原有的规定和要求执行，通过生态环境部门的官方网站分别予以公示公告。</w:t>
      </w:r>
    </w:p>
    <w:p>
      <w:pPr>
        <w:pStyle w:val="3"/>
        <w:widowControl/>
        <w:wordWrap w:val="0"/>
        <w:spacing w:before="0" w:beforeAutospacing="0" w:after="0" w:afterAutospacing="0" w:line="560" w:lineRule="exact"/>
        <w:ind w:firstLine="640" w:firstLineChars="200"/>
        <w:jc w:val="both"/>
        <w:rPr>
          <w:rFonts w:eastAsia="黑体"/>
          <w:color w:val="auto"/>
          <w:sz w:val="32"/>
        </w:rPr>
      </w:pPr>
      <w:r>
        <w:rPr>
          <w:rFonts w:hint="eastAsia" w:eastAsia="黑体"/>
          <w:color w:val="auto"/>
          <w:sz w:val="32"/>
          <w:shd w:val="clear" w:color="auto" w:fill="FFFFFF"/>
        </w:rPr>
        <w:t>四</w:t>
      </w:r>
      <w:r>
        <w:rPr>
          <w:rFonts w:eastAsia="黑体"/>
          <w:color w:val="auto"/>
          <w:sz w:val="32"/>
          <w:shd w:val="clear" w:color="auto" w:fill="FFFFFF"/>
        </w:rPr>
        <w:t>、其他实施要求</w:t>
      </w:r>
    </w:p>
    <w:p>
      <w:pPr>
        <w:pStyle w:val="3"/>
        <w:widowControl/>
        <w:wordWrap w:val="0"/>
        <w:spacing w:before="0" w:beforeAutospacing="0" w:after="0" w:afterAutospacing="0" w:line="560" w:lineRule="exact"/>
        <w:ind w:firstLine="640"/>
        <w:jc w:val="both"/>
        <w:rPr>
          <w:rFonts w:hint="default" w:ascii="Times New Roman" w:hAnsi="Times New Roman" w:cs="Times New Roman"/>
          <w:b w:val="0"/>
          <w:bCs w:val="0"/>
          <w:color w:val="auto"/>
          <w:sz w:val="32"/>
          <w:shd w:val="clear" w:color="auto" w:fill="FFFFFF"/>
        </w:rPr>
      </w:pPr>
      <w:r>
        <w:rPr>
          <w:rFonts w:hint="default" w:ascii="Times New Roman" w:hAnsi="Times New Roman" w:cs="Times New Roman"/>
          <w:b w:val="0"/>
          <w:bCs w:val="0"/>
          <w:color w:val="auto"/>
          <w:sz w:val="32"/>
          <w:shd w:val="clear" w:color="auto" w:fill="FFFFFF"/>
        </w:rPr>
        <w:t>（一）</w:t>
      </w:r>
      <w:r>
        <w:rPr>
          <w:rFonts w:hint="eastAsia" w:cs="Times New Roman"/>
          <w:b w:val="0"/>
          <w:bCs w:val="0"/>
          <w:color w:val="auto"/>
          <w:sz w:val="32"/>
          <w:shd w:val="clear" w:color="auto" w:fill="FFFFFF"/>
          <w:lang w:eastAsia="zh-CN"/>
        </w:rPr>
        <w:t>“</w:t>
      </w:r>
      <w:r>
        <w:rPr>
          <w:rFonts w:hint="default" w:ascii="Times New Roman" w:hAnsi="Times New Roman" w:cs="Times New Roman"/>
          <w:b w:val="0"/>
          <w:bCs w:val="0"/>
          <w:color w:val="auto"/>
          <w:sz w:val="32"/>
          <w:shd w:val="clear" w:color="auto" w:fill="FFFFFF"/>
        </w:rPr>
        <w:t>一件事</w:t>
      </w:r>
      <w:r>
        <w:rPr>
          <w:rFonts w:hint="eastAsia" w:cs="Times New Roman"/>
          <w:b w:val="0"/>
          <w:bCs w:val="0"/>
          <w:color w:val="auto"/>
          <w:sz w:val="32"/>
          <w:shd w:val="clear" w:color="auto" w:fill="FFFFFF"/>
          <w:lang w:eastAsia="zh-CN"/>
        </w:rPr>
        <w:t>”</w:t>
      </w:r>
      <w:r>
        <w:rPr>
          <w:rFonts w:hint="default" w:ascii="Times New Roman" w:hAnsi="Times New Roman" w:cs="Times New Roman"/>
          <w:b w:val="0"/>
          <w:bCs w:val="0"/>
          <w:color w:val="auto"/>
          <w:sz w:val="32"/>
          <w:shd w:val="clear" w:color="auto" w:fill="FFFFFF"/>
        </w:rPr>
        <w:t>审批事项如存在部分事项不通过的情形，审批部门可单独对通过事项出具审批文件，不通过事项相关材料修改完善后，可按单个事项审批程序重新申请。</w:t>
      </w:r>
    </w:p>
    <w:p>
      <w:pPr>
        <w:pStyle w:val="3"/>
        <w:widowControl/>
        <w:wordWrap w:val="0"/>
        <w:spacing w:before="0" w:beforeAutospacing="0" w:after="0" w:afterAutospacing="0" w:line="560" w:lineRule="exact"/>
        <w:ind w:firstLine="640"/>
        <w:jc w:val="both"/>
        <w:rPr>
          <w:rFonts w:hint="default" w:ascii="Times New Roman" w:hAnsi="Times New Roman" w:eastAsia="仿宋_GB2312" w:cs="Times New Roman"/>
          <w:b w:val="0"/>
          <w:bCs w:val="0"/>
          <w:color w:val="auto"/>
          <w:sz w:val="32"/>
          <w:shd w:val="clear" w:color="auto" w:fill="FFFFFF"/>
        </w:rPr>
      </w:pPr>
      <w:r>
        <w:rPr>
          <w:rFonts w:hint="default" w:ascii="Times New Roman" w:hAnsi="Times New Roman" w:cs="Times New Roman"/>
          <w:b w:val="0"/>
          <w:bCs w:val="0"/>
          <w:color w:val="auto"/>
          <w:sz w:val="32"/>
          <w:shd w:val="clear" w:color="auto" w:fill="FFFFFF"/>
        </w:rPr>
        <w:t>（二）鼓励有条件的市（地），结合本地实际情况，在流程优化、材料简化、跨部门协同等方面，深入探索更高效、更便捷的实施模式，完善积累实践经验。</w:t>
      </w:r>
    </w:p>
    <w:p>
      <w:pPr>
        <w:pStyle w:val="3"/>
        <w:widowControl/>
        <w:wordWrap w:val="0"/>
        <w:spacing w:before="0" w:beforeAutospacing="0" w:after="0" w:afterAutospacing="0" w:line="560" w:lineRule="exact"/>
        <w:ind w:firstLine="640"/>
        <w:jc w:val="both"/>
        <w:rPr>
          <w:rFonts w:hint="default" w:ascii="Times New Roman" w:hAnsi="Times New Roman" w:cs="Times New Roman"/>
          <w:b w:val="0"/>
          <w:bCs w:val="0"/>
          <w:color w:val="auto"/>
          <w:sz w:val="32"/>
          <w:shd w:val="clear" w:color="auto" w:fill="FFFFFF"/>
        </w:rPr>
      </w:pPr>
      <w:r>
        <w:rPr>
          <w:rFonts w:hint="default" w:ascii="Times New Roman" w:hAnsi="Times New Roman" w:cs="Times New Roman"/>
          <w:b w:val="0"/>
          <w:bCs w:val="0"/>
          <w:color w:val="auto"/>
          <w:sz w:val="32"/>
          <w:shd w:val="clear" w:color="auto" w:fill="FFFFFF"/>
        </w:rPr>
        <w:t>（三）生态环境管理部门应及时将完成并联审批的企业纳入生态环境</w:t>
      </w:r>
      <w:r>
        <w:rPr>
          <w:rFonts w:hint="eastAsia" w:cs="Times New Roman"/>
          <w:b w:val="0"/>
          <w:bCs w:val="0"/>
          <w:color w:val="auto"/>
          <w:sz w:val="32"/>
          <w:shd w:val="clear" w:color="auto" w:fill="FFFFFF"/>
          <w:lang w:eastAsia="zh-CN"/>
        </w:rPr>
        <w:t>“</w:t>
      </w:r>
      <w:r>
        <w:rPr>
          <w:rFonts w:hint="default" w:ascii="Times New Roman" w:hAnsi="Times New Roman" w:cs="Times New Roman"/>
          <w:b w:val="0"/>
          <w:bCs w:val="0"/>
          <w:color w:val="auto"/>
          <w:sz w:val="32"/>
          <w:shd w:val="clear" w:color="auto" w:fill="FFFFFF"/>
        </w:rPr>
        <w:t>双随机、一公开</w:t>
      </w:r>
      <w:r>
        <w:rPr>
          <w:rFonts w:hint="eastAsia" w:cs="Times New Roman"/>
          <w:b w:val="0"/>
          <w:bCs w:val="0"/>
          <w:color w:val="auto"/>
          <w:sz w:val="32"/>
          <w:shd w:val="clear" w:color="auto" w:fill="FFFFFF"/>
          <w:lang w:eastAsia="zh-CN"/>
        </w:rPr>
        <w:t>”</w:t>
      </w:r>
      <w:r>
        <w:rPr>
          <w:rFonts w:hint="default" w:ascii="Times New Roman" w:hAnsi="Times New Roman" w:cs="Times New Roman"/>
          <w:b w:val="0"/>
          <w:bCs w:val="0"/>
          <w:color w:val="auto"/>
          <w:sz w:val="32"/>
          <w:shd w:val="clear" w:color="auto" w:fill="FFFFFF"/>
        </w:rPr>
        <w:t>监管，及时开展现场核查，确保各审批事项措施有效落实，并对监管过程</w:t>
      </w:r>
      <w:r>
        <w:rPr>
          <w:rFonts w:hint="eastAsia" w:cs="Times New Roman"/>
          <w:b w:val="0"/>
          <w:bCs w:val="0"/>
          <w:color w:val="auto"/>
          <w:sz w:val="32"/>
          <w:shd w:val="clear" w:color="auto" w:fill="FFFFFF"/>
          <w:lang w:eastAsia="zh-CN"/>
        </w:rPr>
        <w:t>中</w:t>
      </w:r>
      <w:r>
        <w:rPr>
          <w:rFonts w:hint="default" w:ascii="Times New Roman" w:hAnsi="Times New Roman" w:cs="Times New Roman"/>
          <w:b w:val="0"/>
          <w:bCs w:val="0"/>
          <w:color w:val="auto"/>
          <w:sz w:val="32"/>
          <w:shd w:val="clear" w:color="auto" w:fill="FFFFFF"/>
        </w:rPr>
        <w:t>发现的各类环境违法违规行为依法处理。</w:t>
      </w:r>
    </w:p>
    <w:p>
      <w:pPr>
        <w:pStyle w:val="3"/>
        <w:widowControl/>
        <w:spacing w:before="0" w:beforeAutospacing="0" w:after="0" w:afterAutospacing="0" w:line="560" w:lineRule="exact"/>
        <w:ind w:firstLine="640" w:firstLineChars="200"/>
        <w:jc w:val="both"/>
        <w:rPr>
          <w:color w:val="auto"/>
          <w:sz w:val="32"/>
        </w:rPr>
      </w:pPr>
    </w:p>
    <w:p>
      <w:pPr>
        <w:pStyle w:val="3"/>
        <w:widowControl/>
        <w:spacing w:before="0" w:beforeAutospacing="0" w:after="0" w:afterAutospacing="0" w:line="560" w:lineRule="exact"/>
        <w:ind w:left="1700" w:leftChars="200" w:hanging="1280" w:hangingChars="400"/>
        <w:jc w:val="both"/>
        <w:rPr>
          <w:color w:val="auto"/>
          <w:sz w:val="32"/>
        </w:rPr>
      </w:pPr>
      <w:r>
        <w:rPr>
          <w:color w:val="auto"/>
          <w:sz w:val="32"/>
        </w:rPr>
        <w:t>附件：1.申请材料清单</w:t>
      </w:r>
    </w:p>
    <w:p>
      <w:pPr>
        <w:pStyle w:val="3"/>
        <w:widowControl/>
        <w:numPr>
          <w:ilvl w:val="0"/>
          <w:numId w:val="0"/>
        </w:numPr>
        <w:tabs>
          <w:tab w:val="left" w:pos="312"/>
        </w:tabs>
        <w:spacing w:before="0" w:beforeAutospacing="0" w:after="0" w:afterAutospacing="0" w:line="560" w:lineRule="exact"/>
        <w:ind w:left="0" w:leftChars="0" w:firstLine="1417" w:firstLineChars="443"/>
        <w:jc w:val="both"/>
        <w:rPr>
          <w:color w:val="auto"/>
          <w:sz w:val="32"/>
        </w:rPr>
      </w:pPr>
      <w:r>
        <w:rPr>
          <w:rFonts w:hint="eastAsia"/>
          <w:color w:val="auto"/>
          <w:sz w:val="32"/>
          <w:lang w:val="en-US" w:eastAsia="zh-CN"/>
        </w:rPr>
        <w:t>2.</w:t>
      </w:r>
      <w:r>
        <w:rPr>
          <w:color w:val="auto"/>
          <w:sz w:val="32"/>
        </w:rPr>
        <w:t>并联审批工作流程图</w:t>
      </w:r>
    </w:p>
    <w:p>
      <w:pPr>
        <w:pStyle w:val="3"/>
        <w:widowControl/>
        <w:numPr>
          <w:ilvl w:val="0"/>
          <w:numId w:val="0"/>
        </w:numPr>
        <w:tabs>
          <w:tab w:val="left" w:pos="312"/>
        </w:tabs>
        <w:spacing w:before="0" w:beforeAutospacing="0" w:after="0" w:afterAutospacing="0" w:line="560" w:lineRule="exact"/>
        <w:ind w:left="840" w:leftChars="400" w:firstLine="579" w:firstLineChars="181"/>
        <w:jc w:val="both"/>
        <w:rPr>
          <w:color w:val="auto"/>
          <w:sz w:val="32"/>
        </w:rPr>
      </w:pPr>
      <w:r>
        <w:rPr>
          <w:rFonts w:hint="eastAsia"/>
          <w:color w:val="auto"/>
          <w:sz w:val="32"/>
          <w:lang w:val="en-US" w:eastAsia="zh-CN"/>
        </w:rPr>
        <w:t>3.</w:t>
      </w:r>
      <w:r>
        <w:rPr>
          <w:rFonts w:hint="eastAsia"/>
          <w:color w:val="auto"/>
          <w:sz w:val="32"/>
        </w:rPr>
        <w:t>设定依据</w:t>
      </w:r>
    </w:p>
    <w:p>
      <w:pPr>
        <w:pStyle w:val="3"/>
        <w:widowControl/>
        <w:spacing w:before="0" w:beforeAutospacing="0" w:after="0" w:afterAutospacing="0" w:line="580" w:lineRule="exact"/>
        <w:ind w:left="840" w:leftChars="400"/>
        <w:jc w:val="both"/>
        <w:rPr>
          <w:color w:val="auto"/>
          <w:sz w:val="32"/>
        </w:rPr>
      </w:pPr>
    </w:p>
    <w:p>
      <w:pPr>
        <w:tabs>
          <w:tab w:val="left" w:pos="5245"/>
        </w:tabs>
        <w:snapToGrid w:val="0"/>
        <w:spacing w:line="600" w:lineRule="exact"/>
        <w:rPr>
          <w:rFonts w:eastAsia="黑体"/>
          <w:color w:val="auto"/>
        </w:rPr>
      </w:pPr>
      <w:r>
        <w:rPr>
          <w:color w:val="auto"/>
        </w:rPr>
        <w:br w:type="page"/>
      </w:r>
      <w:r>
        <w:rPr>
          <w:rFonts w:hint="eastAsia" w:ascii="黑体" w:hAnsi="黑体" w:eastAsia="黑体" w:cs="黑体"/>
          <w:color w:val="auto"/>
          <w:sz w:val="32"/>
          <w:szCs w:val="32"/>
        </w:rPr>
        <w:t>附件1</w:t>
      </w:r>
    </w:p>
    <w:p>
      <w:pPr>
        <w:tabs>
          <w:tab w:val="left" w:pos="1408"/>
        </w:tabs>
        <w:spacing w:line="620" w:lineRule="exact"/>
        <w:jc w:val="center"/>
        <w:rPr>
          <w:rFonts w:eastAsia="方正小标宋简体"/>
          <w:color w:val="auto"/>
          <w:sz w:val="44"/>
          <w:szCs w:val="44"/>
        </w:rPr>
      </w:pPr>
      <w:r>
        <w:rPr>
          <w:rFonts w:eastAsia="方正小标宋简体"/>
          <w:color w:val="auto"/>
          <w:sz w:val="44"/>
          <w:szCs w:val="44"/>
        </w:rPr>
        <w:t>申请材料清单</w:t>
      </w:r>
    </w:p>
    <w:tbl>
      <w:tblPr>
        <w:tblStyle w:val="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332"/>
        <w:gridCol w:w="1391"/>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7" w:type="dxa"/>
            <w:noWrap w:val="0"/>
            <w:vAlign w:val="center"/>
          </w:tcPr>
          <w:p>
            <w:pPr>
              <w:adjustRightInd w:val="0"/>
              <w:snapToGrid w:val="0"/>
              <w:spacing w:line="320" w:lineRule="exact"/>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序号</w:t>
            </w:r>
          </w:p>
        </w:tc>
        <w:tc>
          <w:tcPr>
            <w:tcW w:w="3332" w:type="dxa"/>
            <w:noWrap w:val="0"/>
            <w:vAlign w:val="center"/>
          </w:tcPr>
          <w:p>
            <w:pPr>
              <w:adjustRightInd w:val="0"/>
              <w:snapToGrid w:val="0"/>
              <w:spacing w:line="320" w:lineRule="exact"/>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材料名称</w:t>
            </w:r>
          </w:p>
        </w:tc>
        <w:tc>
          <w:tcPr>
            <w:tcW w:w="1391" w:type="dxa"/>
            <w:noWrap w:val="0"/>
            <w:vAlign w:val="center"/>
          </w:tcPr>
          <w:p>
            <w:pPr>
              <w:adjustRightInd w:val="0"/>
              <w:snapToGrid w:val="0"/>
              <w:spacing w:line="320" w:lineRule="exact"/>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材料份数及要求</w:t>
            </w:r>
          </w:p>
        </w:tc>
        <w:tc>
          <w:tcPr>
            <w:tcW w:w="3719" w:type="dxa"/>
            <w:noWrap w:val="0"/>
            <w:vAlign w:val="center"/>
          </w:tcPr>
          <w:p>
            <w:pPr>
              <w:adjustRightInd w:val="0"/>
              <w:snapToGrid w:val="0"/>
              <w:spacing w:line="320" w:lineRule="exact"/>
              <w:jc w:val="center"/>
              <w:rPr>
                <w:rFonts w:hint="eastAsia" w:ascii="黑体" w:hAnsi="黑体" w:eastAsia="黑体" w:cs="黑体"/>
                <w:b w:val="0"/>
                <w:bCs w:val="0"/>
                <w:color w:val="auto"/>
                <w:sz w:val="24"/>
              </w:rPr>
            </w:pPr>
            <w:r>
              <w:rPr>
                <w:rFonts w:hint="eastAsia" w:ascii="黑体" w:hAnsi="黑体" w:eastAsia="黑体" w:cs="黑体"/>
                <w:b w:val="0"/>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9" w:type="dxa"/>
            <w:gridSpan w:val="4"/>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含入河排污口设置的并联审批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1</w:t>
            </w:r>
          </w:p>
        </w:tc>
        <w:tc>
          <w:tcPr>
            <w:tcW w:w="3332" w:type="dxa"/>
            <w:noWrap w:val="0"/>
            <w:vAlign w:val="center"/>
          </w:tcPr>
          <w:p/>
          <w:p>
            <w:r>
              <w:rPr>
                <w:rFonts w:hint="default" w:ascii="Times New Roman" w:hAnsi="Times New Roman" w:eastAsia="仿宋_GB2312" w:cs="Times New Roman"/>
                <w:b w:val="0"/>
                <w:color w:val="auto"/>
                <w:sz w:val="24"/>
                <w:szCs w:val="32"/>
              </w:rPr>
              <w:t>入河排污口设置申请书</w:t>
            </w:r>
          </w:p>
          <w:p>
            <w:pPr>
              <w:adjustRightInd w:val="0"/>
              <w:snapToGrid w:val="0"/>
              <w:spacing w:line="320" w:lineRule="exact"/>
              <w:jc w:val="center"/>
              <w:rPr>
                <w:rFonts w:hint="default" w:ascii="Times New Roman" w:hAnsi="Times New Roman" w:eastAsia="仿宋_GB2312" w:cs="Times New Roman"/>
                <w:color w:val="auto"/>
                <w:sz w:val="24"/>
              </w:rPr>
            </w:pPr>
          </w:p>
        </w:tc>
        <w:tc>
          <w:tcPr>
            <w:tcW w:w="1391"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w:t>
            </w: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份。</w:t>
            </w:r>
          </w:p>
        </w:tc>
        <w:tc>
          <w:tcPr>
            <w:tcW w:w="3719"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2</w:t>
            </w:r>
          </w:p>
        </w:tc>
        <w:tc>
          <w:tcPr>
            <w:tcW w:w="3332"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建设项目依据文件</w:t>
            </w:r>
          </w:p>
        </w:tc>
        <w:tc>
          <w:tcPr>
            <w:tcW w:w="1391"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纸质，5份。</w:t>
            </w:r>
          </w:p>
        </w:tc>
        <w:tc>
          <w:tcPr>
            <w:tcW w:w="3719"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建设项目建设有关文件：如项目建议书、可行性研究报告、工程初步设计等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lang w:val="en-US" w:eastAsia="zh-CN"/>
              </w:rPr>
              <w:t>3</w:t>
            </w:r>
          </w:p>
        </w:tc>
        <w:tc>
          <w:tcPr>
            <w:tcW w:w="3332" w:type="dxa"/>
            <w:noWrap w:val="0"/>
            <w:vAlign w:val="center"/>
          </w:tcPr>
          <w:p>
            <w:pPr>
              <w:adjustRightInd w:val="0"/>
              <w:snapToGrid w:val="0"/>
              <w:spacing w:line="320" w:lineRule="exact"/>
              <w:ind w:right="-144" w:hanging="14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入河排污口设置简要分析材料</w:t>
            </w:r>
          </w:p>
          <w:p>
            <w:pPr>
              <w:adjustRightInd w:val="0"/>
              <w:snapToGrid w:val="0"/>
              <w:spacing w:line="320" w:lineRule="exact"/>
              <w:ind w:right="-144" w:hanging="140"/>
              <w:jc w:val="center"/>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lang w:eastAsia="zh-CN"/>
              </w:rPr>
              <w:t>或入河排污口设置</w:t>
            </w:r>
            <w:r>
              <w:rPr>
                <w:rFonts w:hint="default" w:ascii="Times New Roman" w:hAnsi="Times New Roman" w:eastAsia="仿宋_GB2312" w:cs="Times New Roman"/>
                <w:color w:val="auto"/>
                <w:sz w:val="24"/>
              </w:rPr>
              <w:t>论证报告</w:t>
            </w:r>
          </w:p>
        </w:tc>
        <w:tc>
          <w:tcPr>
            <w:tcW w:w="1391" w:type="dxa"/>
            <w:noWrap w:val="0"/>
            <w:vAlign w:val="center"/>
          </w:tcPr>
          <w:p>
            <w:pPr>
              <w:adjustRightInd w:val="0"/>
              <w:snapToGrid w:val="0"/>
              <w:spacing w:line="320" w:lineRule="exact"/>
              <w:jc w:val="left"/>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rPr>
              <w:t>纸质，5份。</w:t>
            </w:r>
          </w:p>
        </w:tc>
        <w:tc>
          <w:tcPr>
            <w:tcW w:w="3719"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4</w:t>
            </w:r>
          </w:p>
        </w:tc>
        <w:tc>
          <w:tcPr>
            <w:tcW w:w="3332" w:type="dxa"/>
            <w:noWrap w:val="0"/>
            <w:vAlign w:val="center"/>
          </w:tcPr>
          <w:p>
            <w:pPr>
              <w:adjustRightInd w:val="0"/>
              <w:snapToGrid w:val="0"/>
              <w:spacing w:line="320" w:lineRule="exact"/>
              <w:ind w:right="-144" w:hanging="14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对有利害关系第三方的承诺书</w:t>
            </w:r>
          </w:p>
        </w:tc>
        <w:tc>
          <w:tcPr>
            <w:tcW w:w="1391"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纸质，1份。</w:t>
            </w:r>
          </w:p>
        </w:tc>
        <w:tc>
          <w:tcPr>
            <w:tcW w:w="3719"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仅入河排污口设置与第三者有利害关系时提供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9" w:type="dxa"/>
            <w:gridSpan w:val="4"/>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含建设项目环境影响评价的并联审批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5</w:t>
            </w:r>
          </w:p>
        </w:tc>
        <w:tc>
          <w:tcPr>
            <w:tcW w:w="3332"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建设项目环境影响评价文件报批申请</w:t>
            </w:r>
          </w:p>
        </w:tc>
        <w:tc>
          <w:tcPr>
            <w:tcW w:w="1391" w:type="dxa"/>
            <w:noWrap w:val="0"/>
            <w:vAlign w:val="center"/>
          </w:tcPr>
          <w:p>
            <w:pPr>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w:t>
            </w: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rPr>
              <w:t>份。</w:t>
            </w:r>
          </w:p>
        </w:tc>
        <w:tc>
          <w:tcPr>
            <w:tcW w:w="3719"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6</w:t>
            </w:r>
          </w:p>
        </w:tc>
        <w:tc>
          <w:tcPr>
            <w:tcW w:w="3332" w:type="dxa"/>
            <w:noWrap w:val="0"/>
            <w:vAlign w:val="center"/>
          </w:tcPr>
          <w:p>
            <w:pPr>
              <w:adjustRightInd w:val="0"/>
              <w:snapToGrid w:val="0"/>
              <w:spacing w:line="320" w:lineRule="exact"/>
              <w:jc w:val="center"/>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rPr>
              <w:t>建设项目环境影响报告书（表）</w:t>
            </w:r>
          </w:p>
        </w:tc>
        <w:tc>
          <w:tcPr>
            <w:tcW w:w="1391" w:type="dxa"/>
            <w:noWrap w:val="0"/>
            <w:vAlign w:val="center"/>
          </w:tcPr>
          <w:p>
            <w:pPr>
              <w:spacing w:line="320" w:lineRule="exact"/>
              <w:jc w:val="left"/>
              <w:rPr>
                <w:rFonts w:hint="default" w:ascii="Times New Roman" w:hAnsi="Times New Roman" w:eastAsia="仿宋_GB2312" w:cs="Times New Roman"/>
                <w:color w:val="auto"/>
                <w:kern w:val="2"/>
                <w:sz w:val="24"/>
                <w:szCs w:val="32"/>
                <w:lang w:val="en-US" w:eastAsia="zh-CN" w:bidi="ar-SA"/>
              </w:rPr>
            </w:pPr>
            <w:r>
              <w:rPr>
                <w:rFonts w:hint="default" w:ascii="Times New Roman" w:hAnsi="Times New Roman" w:eastAsia="仿宋_GB2312" w:cs="Times New Roman"/>
                <w:color w:val="auto"/>
                <w:sz w:val="24"/>
              </w:rPr>
              <w:t>纸质，2份。</w:t>
            </w:r>
          </w:p>
        </w:tc>
        <w:tc>
          <w:tcPr>
            <w:tcW w:w="3719"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7</w:t>
            </w:r>
          </w:p>
        </w:tc>
        <w:tc>
          <w:tcPr>
            <w:tcW w:w="3332"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关于环境影响评价文件中删除不宜公开信息说明</w:t>
            </w:r>
          </w:p>
        </w:tc>
        <w:tc>
          <w:tcPr>
            <w:tcW w:w="1391"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纸质，1份。</w:t>
            </w:r>
          </w:p>
        </w:tc>
        <w:tc>
          <w:tcPr>
            <w:tcW w:w="3719"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8</w:t>
            </w:r>
          </w:p>
        </w:tc>
        <w:tc>
          <w:tcPr>
            <w:tcW w:w="3332"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环境影响评价公众参与说明</w:t>
            </w:r>
          </w:p>
        </w:tc>
        <w:tc>
          <w:tcPr>
            <w:tcW w:w="1391"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纸质，1份。</w:t>
            </w:r>
          </w:p>
        </w:tc>
        <w:tc>
          <w:tcPr>
            <w:tcW w:w="3719"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仅报告书项目提供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69" w:type="dxa"/>
            <w:gridSpan w:val="4"/>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含排污许可的并联审批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9</w:t>
            </w:r>
          </w:p>
        </w:tc>
        <w:tc>
          <w:tcPr>
            <w:tcW w:w="3332"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情况说明表</w:t>
            </w:r>
          </w:p>
        </w:tc>
        <w:tc>
          <w:tcPr>
            <w:tcW w:w="1391"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纸质，1份。</w:t>
            </w:r>
          </w:p>
        </w:tc>
        <w:tc>
          <w:tcPr>
            <w:tcW w:w="3719" w:type="dxa"/>
            <w:noWrap w:val="0"/>
            <w:vAlign w:val="center"/>
          </w:tcPr>
          <w:p>
            <w:pPr>
              <w:adjustRightInd w:val="0"/>
              <w:snapToGrid w:val="0"/>
              <w:spacing w:line="320" w:lineRule="exact"/>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一）属于实行排污许可重点管理的，排污单位在提出申请前已通过全国排污许可证管理信息平台公开单位基本信息、拟申请许可事项的说明材料；（二）属于城镇和工业污水集中处理设施的，排污单位的纳污范围、管网布置、最终排放去向等说明材料；（三）属于排放重点污染物的新建、改建、扩建项目以及实施技术改造项目的，排污单位通过污染物排放量削减替代获得重点污染物排放总量控制指标的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7"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10</w:t>
            </w:r>
          </w:p>
        </w:tc>
        <w:tc>
          <w:tcPr>
            <w:tcW w:w="3332"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排污许可证申请表</w:t>
            </w:r>
          </w:p>
        </w:tc>
        <w:tc>
          <w:tcPr>
            <w:tcW w:w="1391" w:type="dxa"/>
            <w:noWrap w:val="0"/>
            <w:vAlign w:val="center"/>
          </w:tcPr>
          <w:p>
            <w:pPr>
              <w:adjustRightInd w:val="0"/>
              <w:snapToGrid w:val="0"/>
              <w:spacing w:line="32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纸质，1份。</w:t>
            </w:r>
          </w:p>
        </w:tc>
        <w:tc>
          <w:tcPr>
            <w:tcW w:w="3719" w:type="dxa"/>
            <w:noWrap w:val="0"/>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r>
    </w:tbl>
    <w:p>
      <w:pPr>
        <w:tabs>
          <w:tab w:val="left" w:pos="5245"/>
        </w:tabs>
        <w:spacing w:line="620" w:lineRule="exact"/>
        <w:rPr>
          <w:rFonts w:hint="eastAsia" w:eastAsia="黑体"/>
          <w:color w:val="auto"/>
          <w:sz w:val="32"/>
          <w:szCs w:val="32"/>
          <w:lang w:val="en-US" w:eastAsia="zh-CN"/>
        </w:rPr>
      </w:pPr>
      <w:r>
        <w:rPr>
          <w:rFonts w:eastAsia="黑体"/>
          <w:color w:val="auto"/>
          <w:sz w:val="32"/>
          <w:szCs w:val="32"/>
        </w:rPr>
        <w:t>附件</w:t>
      </w:r>
      <w:r>
        <w:rPr>
          <w:rFonts w:hint="eastAsia" w:eastAsia="黑体"/>
          <w:color w:val="auto"/>
          <w:sz w:val="32"/>
          <w:szCs w:val="32"/>
          <w:lang w:val="en-US" w:eastAsia="zh-CN"/>
        </w:rPr>
        <w:t>2</w:t>
      </w:r>
    </w:p>
    <w:p/>
    <w:p>
      <w:pPr>
        <w:jc w:val="center"/>
        <w:rPr>
          <w:rFonts w:hint="eastAsia" w:ascii="黑体" w:hAnsi="黑体" w:eastAsia="黑体" w:cs="黑体"/>
          <w:sz w:val="36"/>
          <w:lang w:eastAsia="zh-CN"/>
        </w:rPr>
      </w:pPr>
      <w:r>
        <w:rPr>
          <w:rFonts w:hint="eastAsia" w:ascii="黑体" w:hAnsi="黑体" w:eastAsia="黑体" w:cs="黑体"/>
          <w:sz w:val="36"/>
          <w:lang w:eastAsia="zh-CN"/>
        </w:rPr>
        <w:t>并联审批工作流程图</w:t>
      </w:r>
    </w:p>
    <w:p>
      <w:pPr>
        <w:jc w:val="cente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入河排污口设置、建设项目环境影响评价、排污许可</w:t>
      </w:r>
    </w:p>
    <w:p>
      <w:pPr>
        <w:bidi w:val="0"/>
        <w:rPr>
          <w:rFonts w:hint="eastAsia" w:ascii="Times New Roman" w:hAnsi="Times New Roman" w:eastAsia="仿宋_GB2312" w:cs="Times New Roman"/>
          <w:kern w:val="2"/>
          <w:sz w:val="32"/>
          <w:szCs w:val="32"/>
          <w:lang w:val="en-US" w:eastAsia="zh-CN" w:bidi="ar-SA"/>
        </w:rPr>
      </w:pPr>
    </w:p>
    <w:p>
      <w:pPr>
        <w:tabs>
          <w:tab w:val="left" w:pos="1408"/>
        </w:tabs>
        <w:spacing w:line="500" w:lineRule="exact"/>
        <w:jc w:val="center"/>
        <w:rPr>
          <w:rFonts w:eastAsia="方正小标宋简体"/>
          <w:color w:val="auto"/>
          <w:sz w:val="44"/>
          <w:szCs w:val="44"/>
        </w:rPr>
      </w:pPr>
      <w:r>
        <w:rPr>
          <w:sz w:val="28"/>
        </w:rPr>
        <mc:AlternateContent>
          <mc:Choice Requires="wpg">
            <w:drawing>
              <wp:anchor distT="0" distB="0" distL="114300" distR="114300" simplePos="0" relativeHeight="251660288" behindDoc="0" locked="0" layoutInCell="1" allowOverlap="1">
                <wp:simplePos x="0" y="0"/>
                <wp:positionH relativeFrom="column">
                  <wp:posOffset>-229235</wp:posOffset>
                </wp:positionH>
                <wp:positionV relativeFrom="paragraph">
                  <wp:posOffset>-339090</wp:posOffset>
                </wp:positionV>
                <wp:extent cx="5998210" cy="6804025"/>
                <wp:effectExtent l="6350" t="6350" r="15240" b="9525"/>
                <wp:wrapNone/>
                <wp:docPr id="38" name="组合 38"/>
                <wp:cNvGraphicFramePr/>
                <a:graphic xmlns:a="http://schemas.openxmlformats.org/drawingml/2006/main">
                  <a:graphicData uri="http://schemas.microsoft.com/office/word/2010/wordprocessingGroup">
                    <wpg:wgp>
                      <wpg:cNvGrpSpPr/>
                      <wpg:grpSpPr>
                        <a:xfrm>
                          <a:off x="0" y="0"/>
                          <a:ext cx="5998210" cy="6804025"/>
                          <a:chOff x="13443" y="4254"/>
                          <a:chExt cx="9446" cy="10715"/>
                        </a:xfrm>
                      </wpg:grpSpPr>
                      <wps:wsp>
                        <wps:cNvPr id="3" name="矩形 3"/>
                        <wps:cNvSpPr/>
                        <wps:spPr>
                          <a:xfrm>
                            <a:off x="15124" y="11056"/>
                            <a:ext cx="1809" cy="6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b w:val="0"/>
                                  <w:bCs w:val="0"/>
                                  <w:sz w:val="21"/>
                                  <w:szCs w:val="21"/>
                                  <w:lang w:val="en-US" w:eastAsia="zh-CN"/>
                                </w:rPr>
                                <w:t>不符合审查要求</w:t>
                              </w:r>
                            </w:p>
                          </w:txbxContent>
                        </wps:txbx>
                        <wps:bodyPr upright="1"/>
                      </wps:wsp>
                      <wps:wsp>
                        <wps:cNvPr id="4" name="矩形 4"/>
                        <wps:cNvSpPr/>
                        <wps:spPr>
                          <a:xfrm>
                            <a:off x="19420" y="9260"/>
                            <a:ext cx="1809" cy="6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b w:val="0"/>
                                  <w:bCs w:val="0"/>
                                  <w:sz w:val="21"/>
                                  <w:szCs w:val="21"/>
                                  <w:lang w:val="en-US" w:eastAsia="zh-CN"/>
                                </w:rPr>
                                <w:t>不符合受理要求</w:t>
                              </w:r>
                            </w:p>
                          </w:txbxContent>
                        </wps:txbx>
                        <wps:bodyPr upright="1"/>
                      </wps:wsp>
                      <wps:wsp>
                        <wps:cNvPr id="5" name="矩形 5"/>
                        <wps:cNvSpPr/>
                        <wps:spPr>
                          <a:xfrm>
                            <a:off x="18525" y="12257"/>
                            <a:ext cx="1569" cy="6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b w:val="0"/>
                                  <w:bCs w:val="0"/>
                                  <w:sz w:val="21"/>
                                  <w:szCs w:val="21"/>
                                  <w:lang w:val="en-US" w:eastAsia="zh-CN"/>
                                </w:rPr>
                                <w:t>符合审批要求</w:t>
                              </w:r>
                            </w:p>
                          </w:txbxContent>
                        </wps:txbx>
                        <wps:bodyPr upright="1"/>
                      </wps:wsp>
                      <wps:wsp>
                        <wps:cNvPr id="6" name="矩形 6"/>
                        <wps:cNvSpPr/>
                        <wps:spPr>
                          <a:xfrm>
                            <a:off x="18435" y="10536"/>
                            <a:ext cx="1569" cy="6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b w:val="0"/>
                                  <w:bCs w:val="0"/>
                                  <w:sz w:val="21"/>
                                  <w:szCs w:val="21"/>
                                  <w:lang w:val="en-US" w:eastAsia="zh-CN"/>
                                </w:rPr>
                                <w:t>符合受理要求</w:t>
                              </w:r>
                            </w:p>
                          </w:txbxContent>
                        </wps:txbx>
                        <wps:bodyPr upright="1"/>
                      </wps:wsp>
                      <wps:wsp>
                        <wps:cNvPr id="7" name="直接箭头连接符 7"/>
                        <wps:cNvCnPr>
                          <a:stCxn id="19" idx="2"/>
                          <a:endCxn id="21" idx="0"/>
                        </wps:cNvCnPr>
                        <wps:spPr>
                          <a:xfrm>
                            <a:off x="15880" y="6553"/>
                            <a:ext cx="16" cy="385"/>
                          </a:xfrm>
                          <a:prstGeom prst="straightConnector1">
                            <a:avLst/>
                          </a:prstGeom>
                          <a:ln w="6350" cap="flat" cmpd="sng">
                            <a:solidFill>
                              <a:srgbClr val="000000"/>
                            </a:solidFill>
                            <a:prstDash val="solid"/>
                            <a:miter/>
                            <a:headEnd type="none" w="med" len="med"/>
                            <a:tailEnd type="arrow" w="med" len="med"/>
                          </a:ln>
                        </wps:spPr>
                        <wps:bodyPr/>
                      </wps:wsp>
                      <wps:wsp>
                        <wps:cNvPr id="8" name="直接箭头连接符 8"/>
                        <wps:cNvCnPr/>
                        <wps:spPr>
                          <a:xfrm>
                            <a:off x="20657" y="6547"/>
                            <a:ext cx="16" cy="385"/>
                          </a:xfrm>
                          <a:prstGeom prst="straightConnector1">
                            <a:avLst/>
                          </a:prstGeom>
                          <a:ln w="6350" cap="flat" cmpd="sng">
                            <a:solidFill>
                              <a:srgbClr val="000000"/>
                            </a:solidFill>
                            <a:prstDash val="solid"/>
                            <a:miter/>
                            <a:headEnd type="none" w="med" len="med"/>
                            <a:tailEnd type="arrow" w="med" len="med"/>
                          </a:ln>
                        </wps:spPr>
                        <wps:bodyPr/>
                      </wps:wsp>
                      <wps:wsp>
                        <wps:cNvPr id="9" name="矩形 9"/>
                        <wps:cNvSpPr/>
                        <wps:spPr>
                          <a:xfrm>
                            <a:off x="19148" y="5927"/>
                            <a:ext cx="3045" cy="66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省行政受理窗口</w:t>
                              </w:r>
                            </w:p>
                          </w:txbxContent>
                        </wps:txbx>
                        <wps:bodyPr anchor="ctr" anchorCtr="0" upright="1"/>
                      </wps:wsp>
                      <wps:wsp>
                        <wps:cNvPr id="10" name="矩形 10"/>
                        <wps:cNvSpPr/>
                        <wps:spPr>
                          <a:xfrm>
                            <a:off x="20755" y="5483"/>
                            <a:ext cx="1240" cy="4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sz w:val="21"/>
                                  <w:szCs w:val="21"/>
                                  <w:lang w:val="en-US" w:eastAsia="zh-CN"/>
                                </w:rPr>
                                <w:t>线上申请</w:t>
                              </w:r>
                            </w:p>
                          </w:txbxContent>
                        </wps:txbx>
                        <wps:bodyPr upright="1"/>
                      </wps:wsp>
                      <wps:wsp>
                        <wps:cNvPr id="11" name="矩形 11"/>
                        <wps:cNvSpPr/>
                        <wps:spPr>
                          <a:xfrm>
                            <a:off x="16837" y="11139"/>
                            <a:ext cx="3268" cy="10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审查（结合实际联合开展现场踏查、技术评估、专家评审等）</w:t>
                              </w:r>
                            </w:p>
                          </w:txbxContent>
                        </wps:txbx>
                        <wps:bodyPr anchor="ctr" anchorCtr="0" upright="1"/>
                      </wps:wsp>
                      <wps:wsp>
                        <wps:cNvPr id="12" name="矩形 12"/>
                        <wps:cNvSpPr/>
                        <wps:spPr>
                          <a:xfrm>
                            <a:off x="16738" y="4254"/>
                            <a:ext cx="3045" cy="87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lang w:eastAsia="zh-CN"/>
                                </w:rPr>
                              </w:pPr>
                              <w:r>
                                <w:rPr>
                                  <w:rFonts w:hint="eastAsia"/>
                                  <w:sz w:val="21"/>
                                  <w:szCs w:val="21"/>
                                  <w:lang w:eastAsia="zh-CN"/>
                                </w:rPr>
                                <w:t>申请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lang w:eastAsia="zh-CN"/>
                                </w:rPr>
                              </w:pPr>
                              <w:r>
                                <w:rPr>
                                  <w:rFonts w:hint="eastAsia"/>
                                  <w:sz w:val="21"/>
                                  <w:szCs w:val="21"/>
                                  <w:lang w:eastAsia="zh-CN"/>
                                </w:rPr>
                                <w:t>（项目开工建设前）</w:t>
                              </w:r>
                            </w:p>
                          </w:txbxContent>
                        </wps:txbx>
                        <wps:bodyPr anchor="ctr" anchorCtr="0" upright="1"/>
                      </wps:wsp>
                      <wps:wsp>
                        <wps:cNvPr id="13" name="矩形 13"/>
                        <wps:cNvSpPr/>
                        <wps:spPr>
                          <a:xfrm>
                            <a:off x="14305" y="5950"/>
                            <a:ext cx="3045" cy="65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省政务服务网</w:t>
                              </w:r>
                            </w:p>
                          </w:txbxContent>
                        </wps:txbx>
                        <wps:bodyPr anchor="ctr" anchorCtr="0" upright="1"/>
                      </wps:wsp>
                      <wps:wsp>
                        <wps:cNvPr id="14" name="矩形 14"/>
                        <wps:cNvSpPr/>
                        <wps:spPr>
                          <a:xfrm>
                            <a:off x="16498" y="7627"/>
                            <a:ext cx="3660" cy="7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eastAsia="zh-CN"/>
                                </w:rPr>
                              </w:pPr>
                              <w:r>
                                <w:rPr>
                                  <w:rFonts w:hint="eastAsia"/>
                                  <w:sz w:val="21"/>
                                  <w:szCs w:val="21"/>
                                  <w:lang w:eastAsia="zh-CN"/>
                                </w:rPr>
                                <w:t>一次性提交申请材料</w:t>
                              </w:r>
                            </w:p>
                          </w:txbxContent>
                        </wps:txbx>
                        <wps:bodyPr anchor="ctr" anchorCtr="0" upright="1"/>
                      </wps:wsp>
                      <wps:wsp>
                        <wps:cNvPr id="15" name="矩形 15"/>
                        <wps:cNvSpPr/>
                        <wps:spPr>
                          <a:xfrm>
                            <a:off x="17413" y="9306"/>
                            <a:ext cx="2096" cy="10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接收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（形式审查）</w:t>
                              </w:r>
                            </w:p>
                          </w:txbxContent>
                        </wps:txbx>
                        <wps:bodyPr anchor="ctr" anchorCtr="0" upright="1"/>
                      </wps:wsp>
                      <wps:wsp>
                        <wps:cNvPr id="16" name="矩形 16"/>
                        <wps:cNvSpPr/>
                        <wps:spPr>
                          <a:xfrm>
                            <a:off x="21090" y="9298"/>
                            <a:ext cx="1799" cy="10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不予受理并告知申请人</w:t>
                              </w:r>
                              <w:r>
                                <w:rPr>
                                  <w:rFonts w:hint="eastAsia"/>
                                  <w:sz w:val="21"/>
                                  <w:szCs w:val="21"/>
                                  <w:lang w:eastAsia="zh-CN"/>
                                </w:rPr>
                                <w:object>
                                  <v:shape id="_x0000_i1025" o:spt="75" type="#_x0000_t75" style="height:630pt;width:484.5pt;" o:ole="t" filled="f" o:preferrelative="t" stroked="f" coordsize="21600,21600">
                                    <v:path/>
                                    <v:fill on="f" focussize="0,0"/>
                                    <v:stroke on="f"/>
                                    <v:imagedata r:id="rId10" o:title=""/>
                                    <o:lock v:ext="edit" aspectratio="t"/>
                                    <w10:wrap type="none"/>
                                    <w10:anchorlock/>
                                  </v:shape>
                                  <o:OLEObject Type="Embed" ProgID="Word.Document.8" ShapeID="_x0000_i1025" DrawAspect="Content" ObjectID="_1468075725" r:id="rId9">
                                    <o:LockedField>false</o:LockedField>
                                  </o:OLEObject>
                                </w:object>
                              </w:r>
                              <w:r>
                                <w:rPr>
                                  <w:rFonts w:hint="eastAsia"/>
                                  <w:sz w:val="21"/>
                                  <w:szCs w:val="21"/>
                                  <w:lang w:eastAsia="zh-CN"/>
                                </w:rPr>
                                <w:t>请人</w:t>
                              </w:r>
                            </w:p>
                          </w:txbxContent>
                        </wps:txbx>
                        <wps:bodyPr anchor="ctr" anchorCtr="0" upright="1"/>
                      </wps:wsp>
                      <wps:wsp>
                        <wps:cNvPr id="17" name="直接箭头连接符 17"/>
                        <wps:cNvCnPr/>
                        <wps:spPr>
                          <a:xfrm>
                            <a:off x="18461" y="10400"/>
                            <a:ext cx="10" cy="739"/>
                          </a:xfrm>
                          <a:prstGeom prst="straightConnector1">
                            <a:avLst/>
                          </a:prstGeom>
                          <a:ln w="6350" cap="flat" cmpd="sng">
                            <a:solidFill>
                              <a:srgbClr val="000000"/>
                            </a:solidFill>
                            <a:prstDash val="solid"/>
                            <a:miter/>
                            <a:headEnd type="none" w="med" len="med"/>
                            <a:tailEnd type="arrow" w="med" len="med"/>
                          </a:ln>
                        </wps:spPr>
                        <wps:bodyPr/>
                      </wps:wsp>
                      <wps:wsp>
                        <wps:cNvPr id="18" name="矩形 18"/>
                        <wps:cNvSpPr/>
                        <wps:spPr>
                          <a:xfrm>
                            <a:off x="13443" y="11162"/>
                            <a:ext cx="1621" cy="10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不予许可并告知申请人</w:t>
                              </w:r>
                            </w:p>
                          </w:txbxContent>
                        </wps:txbx>
                        <wps:bodyPr anchor="ctr" anchorCtr="0" upright="1"/>
                      </wps:wsp>
                      <wps:wsp>
                        <wps:cNvPr id="19" name="矩形 19"/>
                        <wps:cNvSpPr/>
                        <wps:spPr>
                          <a:xfrm>
                            <a:off x="16959" y="12779"/>
                            <a:ext cx="3045" cy="66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分别出具审批文件</w:t>
                              </w:r>
                            </w:p>
                          </w:txbxContent>
                        </wps:txbx>
                        <wps:bodyPr anchor="ctr" anchorCtr="0" upright="1"/>
                      </wps:wsp>
                      <wps:wsp>
                        <wps:cNvPr id="20" name="直接箭头连接符 20"/>
                        <wps:cNvCnPr>
                          <a:stCxn id="15" idx="2"/>
                          <a:endCxn id="19" idx="0"/>
                        </wps:cNvCnPr>
                        <wps:spPr>
                          <a:xfrm>
                            <a:off x="18462" y="12250"/>
                            <a:ext cx="20" cy="529"/>
                          </a:xfrm>
                          <a:prstGeom prst="straightConnector1">
                            <a:avLst/>
                          </a:prstGeom>
                          <a:ln w="6350" cap="flat" cmpd="sng">
                            <a:solidFill>
                              <a:srgbClr val="000000"/>
                            </a:solidFill>
                            <a:prstDash val="solid"/>
                            <a:miter/>
                            <a:headEnd type="none" w="med" len="med"/>
                            <a:tailEnd type="arrow" w="med" len="med"/>
                          </a:ln>
                        </wps:spPr>
                        <wps:bodyPr/>
                      </wps:wsp>
                      <wps:wsp>
                        <wps:cNvPr id="21" name="矩形 21"/>
                        <wps:cNvSpPr/>
                        <wps:spPr>
                          <a:xfrm>
                            <a:off x="16965" y="13991"/>
                            <a:ext cx="3045" cy="97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审批决定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公示公告</w:t>
                              </w:r>
                            </w:p>
                          </w:txbxContent>
                        </wps:txbx>
                        <wps:bodyPr anchor="ctr" anchorCtr="0" upright="1"/>
                      </wps:wsp>
                      <wps:wsp>
                        <wps:cNvPr id="22" name="直接箭头连接符 22"/>
                        <wps:cNvCnPr>
                          <a:stCxn id="19" idx="2"/>
                          <a:endCxn id="21" idx="0"/>
                        </wps:cNvCnPr>
                        <wps:spPr>
                          <a:xfrm>
                            <a:off x="18482" y="13440"/>
                            <a:ext cx="6" cy="551"/>
                          </a:xfrm>
                          <a:prstGeom prst="straightConnector1">
                            <a:avLst/>
                          </a:prstGeom>
                          <a:ln w="6350" cap="flat" cmpd="sng">
                            <a:solidFill>
                              <a:srgbClr val="000000"/>
                            </a:solidFill>
                            <a:prstDash val="solid"/>
                            <a:miter/>
                            <a:headEnd type="none" w="med" len="med"/>
                            <a:tailEnd type="arrow" w="med" len="med"/>
                          </a:ln>
                        </wps:spPr>
                        <wps:bodyPr/>
                      </wps:wsp>
                      <wps:wsp>
                        <wps:cNvPr id="23" name="直接箭头连接符 23"/>
                        <wps:cNvCnPr/>
                        <wps:spPr>
                          <a:xfrm>
                            <a:off x="18482" y="13440"/>
                            <a:ext cx="6" cy="551"/>
                          </a:xfrm>
                          <a:prstGeom prst="straightConnector1">
                            <a:avLst/>
                          </a:prstGeom>
                          <a:ln w="6350" cap="flat" cmpd="sng">
                            <a:solidFill>
                              <a:srgbClr val="000000"/>
                            </a:solidFill>
                            <a:prstDash val="solid"/>
                            <a:miter/>
                            <a:headEnd type="none" w="med" len="med"/>
                            <a:tailEnd type="arrow" w="med" len="med"/>
                          </a:ln>
                        </wps:spPr>
                        <wps:bodyPr/>
                      </wps:wsp>
                      <wps:wsp>
                        <wps:cNvPr id="24" name="直接连接符 24"/>
                        <wps:cNvSpPr/>
                        <wps:spPr>
                          <a:xfrm flipV="1">
                            <a:off x="15817" y="5543"/>
                            <a:ext cx="4817" cy="33"/>
                          </a:xfrm>
                          <a:prstGeom prst="line">
                            <a:avLst/>
                          </a:prstGeom>
                          <a:ln w="9525" cap="flat" cmpd="sng">
                            <a:solidFill>
                              <a:srgbClr val="000000"/>
                            </a:solidFill>
                            <a:prstDash val="solid"/>
                            <a:headEnd type="none" w="med" len="med"/>
                            <a:tailEnd type="none" w="med" len="med"/>
                          </a:ln>
                        </wps:spPr>
                        <wps:bodyPr upright="1"/>
                      </wps:wsp>
                      <wps:wsp>
                        <wps:cNvPr id="25" name="直接箭头连接符 25"/>
                        <wps:cNvCnPr/>
                        <wps:spPr>
                          <a:xfrm>
                            <a:off x="18482" y="13440"/>
                            <a:ext cx="6" cy="551"/>
                          </a:xfrm>
                          <a:prstGeom prst="straightConnector1">
                            <a:avLst/>
                          </a:prstGeom>
                          <a:ln w="6350" cap="flat" cmpd="sng">
                            <a:solidFill>
                              <a:srgbClr val="000000"/>
                            </a:solidFill>
                            <a:prstDash val="solid"/>
                            <a:miter/>
                            <a:headEnd type="none" w="med" len="med"/>
                            <a:tailEnd type="arrow" w="med" len="med"/>
                          </a:ln>
                        </wps:spPr>
                        <wps:bodyPr/>
                      </wps:wsp>
                      <wps:wsp>
                        <wps:cNvPr id="26" name="直接箭头连接符 26"/>
                        <wps:cNvCnPr/>
                        <wps:spPr>
                          <a:xfrm>
                            <a:off x="18482" y="13440"/>
                            <a:ext cx="6" cy="551"/>
                          </a:xfrm>
                          <a:prstGeom prst="straightConnector1">
                            <a:avLst/>
                          </a:prstGeom>
                          <a:ln w="6350" cap="flat" cmpd="sng">
                            <a:solidFill>
                              <a:srgbClr val="000000"/>
                            </a:solidFill>
                            <a:prstDash val="solid"/>
                            <a:miter/>
                            <a:headEnd type="none" w="med" len="med"/>
                            <a:tailEnd type="arrow" w="med" len="med"/>
                          </a:ln>
                        </wps:spPr>
                        <wps:bodyPr/>
                      </wps:wsp>
                      <wps:wsp>
                        <wps:cNvPr id="27" name="直接箭头连接符 27"/>
                        <wps:cNvCnPr/>
                        <wps:spPr>
                          <a:xfrm>
                            <a:off x="18482" y="13440"/>
                            <a:ext cx="6" cy="551"/>
                          </a:xfrm>
                          <a:prstGeom prst="straightConnector1">
                            <a:avLst/>
                          </a:prstGeom>
                          <a:ln w="6350" cap="flat" cmpd="sng">
                            <a:solidFill>
                              <a:srgbClr val="000000"/>
                            </a:solidFill>
                            <a:prstDash val="solid"/>
                            <a:miter/>
                            <a:headEnd type="none" w="med" len="med"/>
                            <a:tailEnd type="arrow" w="med" len="med"/>
                          </a:ln>
                        </wps:spPr>
                        <wps:bodyPr/>
                      </wps:wsp>
                      <wps:wsp>
                        <wps:cNvPr id="28" name="直接连接符 28"/>
                        <wps:cNvSpPr/>
                        <wps:spPr>
                          <a:xfrm flipV="1">
                            <a:off x="15865" y="6933"/>
                            <a:ext cx="4817" cy="33"/>
                          </a:xfrm>
                          <a:prstGeom prst="line">
                            <a:avLst/>
                          </a:prstGeom>
                          <a:ln w="9525" cap="flat" cmpd="sng">
                            <a:solidFill>
                              <a:srgbClr val="000000"/>
                            </a:solidFill>
                            <a:prstDash val="solid"/>
                            <a:headEnd type="none" w="med" len="med"/>
                            <a:tailEnd type="none" w="med" len="med"/>
                          </a:ln>
                        </wps:spPr>
                        <wps:bodyPr upright="1"/>
                      </wps:wsp>
                      <wps:wsp>
                        <wps:cNvPr id="29" name="直接箭头连接符 29"/>
                        <wps:cNvCnPr/>
                        <wps:spPr>
                          <a:xfrm>
                            <a:off x="18482" y="13440"/>
                            <a:ext cx="6" cy="551"/>
                          </a:xfrm>
                          <a:prstGeom prst="straightConnector1">
                            <a:avLst/>
                          </a:prstGeom>
                          <a:ln w="6350" cap="flat" cmpd="sng">
                            <a:solidFill>
                              <a:srgbClr val="000000"/>
                            </a:solidFill>
                            <a:prstDash val="solid"/>
                            <a:miter/>
                            <a:headEnd type="none" w="med" len="med"/>
                            <a:tailEnd type="arrow" w="med" len="med"/>
                          </a:ln>
                        </wps:spPr>
                        <wps:bodyPr/>
                      </wps:wsp>
                      <wps:wsp>
                        <wps:cNvPr id="30" name="直接连接符 30"/>
                        <wps:cNvSpPr/>
                        <wps:spPr>
                          <a:xfrm flipH="1">
                            <a:off x="15080" y="11650"/>
                            <a:ext cx="1732" cy="1"/>
                          </a:xfrm>
                          <a:prstGeom prst="line">
                            <a:avLst/>
                          </a:prstGeom>
                          <a:ln w="9525" cap="flat" cmpd="sng">
                            <a:solidFill>
                              <a:srgbClr val="000000"/>
                            </a:solidFill>
                            <a:prstDash val="solid"/>
                            <a:headEnd type="none" w="med" len="med"/>
                            <a:tailEnd type="arrow" w="med" len="med"/>
                          </a:ln>
                        </wps:spPr>
                        <wps:bodyPr upright="1"/>
                      </wps:wsp>
                      <wps:wsp>
                        <wps:cNvPr id="31" name="直接箭头连接符 31"/>
                        <wps:cNvCnPr/>
                        <wps:spPr>
                          <a:xfrm>
                            <a:off x="15820" y="5560"/>
                            <a:ext cx="16" cy="385"/>
                          </a:xfrm>
                          <a:prstGeom prst="straightConnector1">
                            <a:avLst/>
                          </a:prstGeom>
                          <a:ln w="6350" cap="flat" cmpd="sng">
                            <a:solidFill>
                              <a:srgbClr val="000000"/>
                            </a:solidFill>
                            <a:prstDash val="solid"/>
                            <a:miter/>
                            <a:headEnd type="none" w="med" len="med"/>
                            <a:tailEnd type="arrow" w="med" len="med"/>
                          </a:ln>
                        </wps:spPr>
                        <wps:bodyPr/>
                      </wps:wsp>
                      <wps:wsp>
                        <wps:cNvPr id="32" name="直接箭头连接符 32"/>
                        <wps:cNvCnPr/>
                        <wps:spPr>
                          <a:xfrm>
                            <a:off x="20643" y="5533"/>
                            <a:ext cx="16" cy="385"/>
                          </a:xfrm>
                          <a:prstGeom prst="straightConnector1">
                            <a:avLst/>
                          </a:prstGeom>
                          <a:ln w="6350" cap="flat" cmpd="sng">
                            <a:solidFill>
                              <a:srgbClr val="000000"/>
                            </a:solidFill>
                            <a:prstDash val="solid"/>
                            <a:miter/>
                            <a:headEnd type="none" w="med" len="med"/>
                            <a:tailEnd type="arrow" w="med" len="med"/>
                          </a:ln>
                        </wps:spPr>
                        <wps:bodyPr/>
                      </wps:wsp>
                      <wps:wsp>
                        <wps:cNvPr id="33" name="直接箭头连接符 33"/>
                        <wps:cNvCnPr/>
                        <wps:spPr>
                          <a:xfrm>
                            <a:off x="18286" y="5143"/>
                            <a:ext cx="16" cy="385"/>
                          </a:xfrm>
                          <a:prstGeom prst="straightConnector1">
                            <a:avLst/>
                          </a:prstGeom>
                          <a:ln w="6350" cap="flat" cmpd="sng">
                            <a:solidFill>
                              <a:srgbClr val="000000"/>
                            </a:solidFill>
                            <a:prstDash val="solid"/>
                            <a:miter/>
                            <a:headEnd type="none" w="med" len="med"/>
                            <a:tailEnd type="arrow" w="med" len="med"/>
                          </a:ln>
                        </wps:spPr>
                        <wps:bodyPr/>
                      </wps:wsp>
                      <wps:wsp>
                        <wps:cNvPr id="34" name="直接箭头连接符 34"/>
                        <wps:cNvCnPr/>
                        <wps:spPr>
                          <a:xfrm>
                            <a:off x="18336" y="8409"/>
                            <a:ext cx="9" cy="881"/>
                          </a:xfrm>
                          <a:prstGeom prst="straightConnector1">
                            <a:avLst/>
                          </a:prstGeom>
                          <a:ln w="6350" cap="flat" cmpd="sng">
                            <a:solidFill>
                              <a:srgbClr val="000000"/>
                            </a:solidFill>
                            <a:prstDash val="solid"/>
                            <a:miter/>
                            <a:headEnd type="none" w="med" len="med"/>
                            <a:tailEnd type="arrow" w="med" len="med"/>
                          </a:ln>
                        </wps:spPr>
                        <wps:bodyPr/>
                      </wps:wsp>
                      <wps:wsp>
                        <wps:cNvPr id="35" name="直接箭头连接符 35"/>
                        <wps:cNvCnPr/>
                        <wps:spPr>
                          <a:xfrm>
                            <a:off x="18305" y="6980"/>
                            <a:ext cx="23" cy="647"/>
                          </a:xfrm>
                          <a:prstGeom prst="straightConnector1">
                            <a:avLst/>
                          </a:prstGeom>
                          <a:ln w="6350" cap="flat" cmpd="sng">
                            <a:solidFill>
                              <a:srgbClr val="000000"/>
                            </a:solidFill>
                            <a:prstDash val="solid"/>
                            <a:miter/>
                            <a:headEnd type="none" w="med" len="med"/>
                            <a:tailEnd type="arrow" w="med" len="med"/>
                          </a:ln>
                        </wps:spPr>
                        <wps:bodyPr/>
                      </wps:wsp>
                      <wps:wsp>
                        <wps:cNvPr id="36" name="矩形 36"/>
                        <wps:cNvSpPr/>
                        <wps:spPr>
                          <a:xfrm>
                            <a:off x="14515" y="5473"/>
                            <a:ext cx="1240" cy="4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sz w:val="21"/>
                                  <w:szCs w:val="21"/>
                                  <w:lang w:val="en-US" w:eastAsia="zh-CN"/>
                                </w:rPr>
                                <w:t>线上申请</w:t>
                              </w:r>
                            </w:p>
                          </w:txbxContent>
                        </wps:txbx>
                        <wps:bodyPr upright="1"/>
                      </wps:wsp>
                      <wps:wsp>
                        <wps:cNvPr id="37" name="直接连接符 37"/>
                        <wps:cNvSpPr/>
                        <wps:spPr>
                          <a:xfrm rot="-10800000" flipH="1">
                            <a:off x="19537" y="9838"/>
                            <a:ext cx="1542" cy="1"/>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18.05pt;margin-top:-26.7pt;height:535.75pt;width:472.3pt;z-index:251660288;mso-width-relative:page;mso-height-relative:page;" coordorigin="13443,4254" coordsize="9446,10715" o:gfxdata="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">
                <o:lock v:ext="edit" aspectratio="f"/>
                <v:rect id="_x0000_s1026" o:spid="_x0000_s1026" o:spt="1" style="position:absolute;left:15124;top:11056;height:600;width:1809;" fillcolor="#FFFFFF" filled="t" stroked="t" coordsize="21600,21600" o:gfxdata="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1+DR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b w:val="0"/>
                            <w:bCs w:val="0"/>
                            <w:sz w:val="21"/>
                            <w:szCs w:val="21"/>
                            <w:lang w:val="en-US" w:eastAsia="zh-CN"/>
                          </w:rPr>
                          <w:t>不符合审查要求</w:t>
                        </w:r>
                      </w:p>
                    </w:txbxContent>
                  </v:textbox>
                </v:rect>
                <v:rect id="_x0000_s1026" o:spid="_x0000_s1026" o:spt="1" style="position:absolute;left:19420;top:9260;height:600;width:1809;" fillcolor="#FFFFFF" filled="t" stroked="t" coordsize="21600,21600" o:gfxdata="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eKW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b w:val="0"/>
                            <w:bCs w:val="0"/>
                            <w:sz w:val="21"/>
                            <w:szCs w:val="21"/>
                            <w:lang w:val="en-US" w:eastAsia="zh-CN"/>
                          </w:rPr>
                          <w:t>不符合受理要求</w:t>
                        </w:r>
                      </w:p>
                    </w:txbxContent>
                  </v:textbox>
                </v:rect>
                <v:rect id="_x0000_s1026" o:spid="_x0000_s1026" o:spt="1" style="position:absolute;left:18525;top:12257;height:600;width:1569;" fillcolor="#FFFFFF" filled="t" stroked="t" coordsize="21600,21600" o:gfxdata="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ct0+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b w:val="0"/>
                            <w:bCs w:val="0"/>
                            <w:sz w:val="21"/>
                            <w:szCs w:val="21"/>
                            <w:lang w:val="en-US" w:eastAsia="zh-CN"/>
                          </w:rPr>
                          <w:t>符合审批要求</w:t>
                        </w:r>
                      </w:p>
                    </w:txbxContent>
                  </v:textbox>
                </v:rect>
                <v:rect id="_x0000_s1026" o:spid="_x0000_s1026" o:spt="1" style="position:absolute;left:18435;top:10536;height:600;width:1569;" fillcolor="#FFFFFF" filled="t" stroked="t" coordsize="21600,21600" o:gfxdata="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gQ0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b w:val="0"/>
                            <w:bCs w:val="0"/>
                            <w:sz w:val="21"/>
                            <w:szCs w:val="21"/>
                            <w:lang w:val="en-US" w:eastAsia="zh-CN"/>
                          </w:rPr>
                          <w:t>符合受理要求</w:t>
                        </w:r>
                      </w:p>
                    </w:txbxContent>
                  </v:textbox>
                </v:rect>
                <v:shape id="_x0000_s1026" o:spid="_x0000_s1026" o:spt="32" type="#_x0000_t32" style="position:absolute;left:15880;top:6553;height:385;width:16;"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20657;top:6547;height:385;width:16;"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rect id="_x0000_s1026" o:spid="_x0000_s1026" o:spt="1" style="position:absolute;left:19148;top:5927;height:661;width:3045;v-text-anchor:middle;" fillcolor="#FFFFFF" filled="t" stroked="t" coordsize="21600,21600" o:gfxdata="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Ag7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省行政受理窗口</w:t>
                        </w:r>
                      </w:p>
                    </w:txbxContent>
                  </v:textbox>
                </v:rect>
                <v:rect id="_x0000_s1026" o:spid="_x0000_s1026" o:spt="1" style="position:absolute;left:20755;top:5483;height:410;width:1240;" fillcolor="#FFFFFF" filled="t" stroked="t" coordsize="21600,21600" o:gfxdata="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P0nm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sz w:val="21"/>
                            <w:szCs w:val="21"/>
                            <w:lang w:val="en-US" w:eastAsia="zh-CN"/>
                          </w:rPr>
                          <w:t>线上申请</w:t>
                        </w:r>
                      </w:p>
                    </w:txbxContent>
                  </v:textbox>
                </v:rect>
                <v:rect id="_x0000_s1026" o:spid="_x0000_s1026" o:spt="1" style="position:absolute;left:16837;top:11139;height:1094;width:3268;v-text-anchor:middle;" fillcolor="#FFFFFF" filled="t" stroked="t" coordsize="21600,21600" o:gfxdata="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d88onYAAAACwEAAA8AAAAAAAAAAQAgAAAAIgAAAGRy&#10;cy9kb3ducmV2LnhtbFBLAQIUABQAAAAIAIdO4kAdOqyPdwIAAAEFAAAOAAAAAAAAAAEAIAAAACcB&#10;AABkcnMvZTJvRG9jLnhtbFBLBQYAAAAABgAGAFkBAAAQBg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审查（结合实际联合开展现场踏查、技术评估、专家评审等）</w:t>
                        </w:r>
                      </w:p>
                    </w:txbxContent>
                  </v:textbox>
                </v:rect>
                <v:rect id="_x0000_s1026" o:spid="_x0000_s1026" o:spt="1" style="position:absolute;left:16738;top:4254;height:878;width:3045;v-text-anchor:middle;" fillcolor="#FFFFFF"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lang w:eastAsia="zh-CN"/>
                          </w:rPr>
                        </w:pPr>
                        <w:r>
                          <w:rPr>
                            <w:rFonts w:hint="eastAsia"/>
                            <w:sz w:val="21"/>
                            <w:szCs w:val="21"/>
                            <w:lang w:eastAsia="zh-CN"/>
                          </w:rPr>
                          <w:t>申请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lang w:eastAsia="zh-CN"/>
                          </w:rPr>
                        </w:pPr>
                        <w:r>
                          <w:rPr>
                            <w:rFonts w:hint="eastAsia"/>
                            <w:sz w:val="21"/>
                            <w:szCs w:val="21"/>
                            <w:lang w:eastAsia="zh-CN"/>
                          </w:rPr>
                          <w:t>（项目开工建设前）</w:t>
                        </w:r>
                      </w:p>
                    </w:txbxContent>
                  </v:textbox>
                </v:rect>
                <v:rect id="_x0000_s1026" o:spid="_x0000_s1026" o:spt="1" style="position:absolute;left:14305;top:5950;height:652;width:3045;v-text-anchor:middle;" fillcolor="#FFFFFF"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省政务服务网</w:t>
                        </w:r>
                      </w:p>
                    </w:txbxContent>
                  </v:textbox>
                </v:rect>
                <v:rect id="_x0000_s1026" o:spid="_x0000_s1026" o:spt="1" style="position:absolute;left:16498;top:7627;height:795;width:3660;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eastAsia="zh-CN"/>
                          </w:rPr>
                        </w:pPr>
                        <w:r>
                          <w:rPr>
                            <w:rFonts w:hint="eastAsia"/>
                            <w:sz w:val="21"/>
                            <w:szCs w:val="21"/>
                            <w:lang w:eastAsia="zh-CN"/>
                          </w:rPr>
                          <w:t>一次性提交申请材料</w:t>
                        </w:r>
                      </w:p>
                    </w:txbxContent>
                  </v:textbox>
                </v:rect>
                <v:rect id="_x0000_s1026" o:spid="_x0000_s1026" o:spt="1" style="position:absolute;left:17413;top:9306;height:1094;width:209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接收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（形式审查）</w:t>
                        </w:r>
                      </w:p>
                    </w:txbxContent>
                  </v:textbox>
                </v:rect>
                <v:rect id="_x0000_s1026" o:spid="_x0000_s1026" o:spt="1" style="position:absolute;left:21090;top:9298;height:1094;width:1799;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不予受理并告知申请人</w:t>
                        </w:r>
                        <w:r>
                          <w:rPr>
                            <w:rFonts w:hint="eastAsia"/>
                            <w:sz w:val="21"/>
                            <w:szCs w:val="21"/>
                            <w:lang w:eastAsia="zh-CN"/>
                          </w:rPr>
                          <w:object>
                            <v:shape id="_x0000_i1025" o:spt="75" type="#_x0000_t75" style="height:630pt;width:484.5pt;" o:ole="t" filled="f" o:preferrelative="t" stroked="f" coordsize="21600,21600">
                              <v:path/>
                              <v:fill on="f" focussize="0,0"/>
                              <v:stroke on="f"/>
                              <v:imagedata r:id="rId10" o:title=""/>
                              <o:lock v:ext="edit" aspectratio="t"/>
                              <w10:wrap type="none"/>
                              <w10:anchorlock/>
                            </v:shape>
                            <o:OLEObject Type="Embed" ProgID="Word.Document.8" ShapeID="_x0000_i1025" DrawAspect="Content" ObjectID="_1468075726" r:id="rId11">
                              <o:LockedField>false</o:LockedField>
                            </o:OLEObject>
                          </w:object>
                        </w:r>
                        <w:r>
                          <w:rPr>
                            <w:rFonts w:hint="eastAsia"/>
                            <w:sz w:val="21"/>
                            <w:szCs w:val="21"/>
                            <w:lang w:eastAsia="zh-CN"/>
                          </w:rPr>
                          <w:t>请人</w:t>
                        </w:r>
                      </w:p>
                    </w:txbxContent>
                  </v:textbox>
                </v:rect>
                <v:shape id="_x0000_s1026" o:spid="_x0000_s1026" o:spt="32" type="#_x0000_t32" style="position:absolute;left:18461;top:10400;height:739;width:10;" filled="f" stroked="t" coordsize="21600,21600" o:gfxdata="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ZXWG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rect id="_x0000_s1026" o:spid="_x0000_s1026" o:spt="1" style="position:absolute;left:13443;top:11162;height:1094;width:1621;v-text-anchor:middle;" fillcolor="#FFFFFF"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不予许可并告知申请人</w:t>
                        </w:r>
                      </w:p>
                    </w:txbxContent>
                  </v:textbox>
                </v:rect>
                <v:rect id="_x0000_s1026" o:spid="_x0000_s1026" o:spt="1" style="position:absolute;left:16959;top:12779;height:661;width:3045;v-text-anchor:middle;" fillcolor="#FFFFFF"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分别出具审批文件</w:t>
                        </w:r>
                      </w:p>
                    </w:txbxContent>
                  </v:textbox>
                </v:rect>
                <v:shape id="_x0000_s1026" o:spid="_x0000_s1026" o:spt="32" type="#_x0000_t32" style="position:absolute;left:18462;top:12250;height:529;width:20;" filled="f" stroked="t" coordsize="21600,21600" o:gfxdata="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4CdP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rect id="_x0000_s1026" o:spid="_x0000_s1026" o:spt="1" style="position:absolute;left:16965;top:13991;height:978;width:3045;v-text-anchor:middle;" fillcolor="#FFFFFF"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审批决定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1"/>
                            <w:szCs w:val="21"/>
                            <w:lang w:eastAsia="zh-CN"/>
                          </w:rPr>
                        </w:pPr>
                        <w:r>
                          <w:rPr>
                            <w:rFonts w:hint="eastAsia"/>
                            <w:sz w:val="21"/>
                            <w:szCs w:val="21"/>
                            <w:lang w:eastAsia="zh-CN"/>
                          </w:rPr>
                          <w:t>公示公告</w:t>
                        </w:r>
                      </w:p>
                    </w:txbxContent>
                  </v:textbox>
                </v:rect>
                <v:shape id="_x0000_s1026" o:spid="_x0000_s1026" o:spt="32" type="#_x0000_t32" style="position:absolute;left:18482;top:13440;height:551;width:6;"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8482;top:13440;height:551;width:6;"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_x0000_s1026" o:spid="_x0000_s1026" o:spt="20" style="position:absolute;left:15817;top:5543;flip:y;height:33;width:4817;"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32" type="#_x0000_t32" style="position:absolute;left:18482;top:13440;height:551;width:6;" filled="f" stroked="t" coordsize="21600,21600" o:gfxdata="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XhN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8482;top:13440;height:551;width:6;"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8482;top:13440;height:551;width:6;"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line id="_x0000_s1026" o:spid="_x0000_s1026" o:spt="20" style="position:absolute;left:15865;top:6933;flip:y;height:33;width:4817;"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18482;top:13440;height:551;width:6;" filled="f" stroked="t" coordsize="21600,21600" o:gfxdata="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qO0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line id="_x0000_s1026" o:spid="_x0000_s1026" o:spt="20" style="position:absolute;left:15080;top:11650;flip:x;height:1;width:1732;" filled="f" stroked="t" coordsize="21600,21600" o:gfxdata="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oP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_x0000_s1026" o:spid="_x0000_s1026" o:spt="32" type="#_x0000_t32" style="position:absolute;left:15820;top:5560;height:385;width:16;" filled="f" stroked="t" coordsize="21600,2160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20643;top:5533;height:385;width:16;" filled="f" stroked="t" coordsize="21600,21600" o:gfxdata="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4p+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8286;top:5143;height:385;width:16;" filled="f" stroked="t" coordsize="21600,21600"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8336;top:8409;height:881;width:9;" filled="f" stroked="t" coordsize="21600,21600" o:gfxdata="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t5G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8305;top:6980;height:647;width:23;" filled="f" stroked="t" coordsize="21600,21600" o:gfxdata="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4SC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rect id="_x0000_s1026" o:spid="_x0000_s1026" o:spt="1" style="position:absolute;left:14515;top:5473;height:410;width:1240;" fillcolor="#FFFFFF" filled="t" stroked="t" coordsize="21600,21600" o:gfxdata="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H7P2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sz w:val="21"/>
                            <w:szCs w:val="21"/>
                            <w:lang w:val="en-US" w:eastAsia="zh-CN"/>
                          </w:rPr>
                          <w:t>线上申请</w:t>
                        </w:r>
                      </w:p>
                    </w:txbxContent>
                  </v:textbox>
                </v:rect>
                <v:line id="_x0000_s1026" o:spid="_x0000_s1026" o:spt="20" style="position:absolute;left:19537;top:9838;flip:x;height:1;width:1542;rotation:11796480f;" filled="f" stroked="t" coordsize="21600,21600" o:gfxdata="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PYcK/&#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w:pict>
          </mc:Fallback>
        </mc:AlternateContent>
      </w:r>
    </w:p>
    <w:p>
      <w:pPr>
        <w:tabs>
          <w:tab w:val="left" w:pos="5245"/>
        </w:tabs>
        <w:spacing w:line="360" w:lineRule="auto"/>
        <w:jc w:val="center"/>
        <w:rPr>
          <w:color w:val="auto"/>
        </w:rPr>
        <w:sectPr>
          <w:footerReference r:id="rId4" w:type="default"/>
          <w:pgSz w:w="11906" w:h="16838"/>
          <w:pgMar w:top="1701" w:right="1474" w:bottom="1701" w:left="1587" w:header="851" w:footer="992" w:gutter="0"/>
          <w:pgNumType w:fmt="decimal"/>
          <w:cols w:space="720" w:num="1"/>
          <w:rtlGutter w:val="0"/>
          <w:docGrid w:type="lines" w:linePitch="312" w:charSpace="0"/>
        </w:sectPr>
      </w:pPr>
    </w:p>
    <w:p>
      <w:pPr>
        <w:tabs>
          <w:tab w:val="left" w:pos="1408"/>
        </w:tabs>
        <w:spacing w:line="62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tabs>
          <w:tab w:val="left" w:pos="1408"/>
        </w:tabs>
        <w:spacing w:line="500" w:lineRule="exact"/>
        <w:rPr>
          <w:rFonts w:eastAsia="黑体"/>
          <w:color w:val="auto"/>
        </w:rPr>
      </w:pPr>
    </w:p>
    <w:p>
      <w:pPr>
        <w:tabs>
          <w:tab w:val="left" w:pos="1408"/>
        </w:tabs>
        <w:spacing w:after="120" w:line="600" w:lineRule="exact"/>
        <w:jc w:val="center"/>
        <w:rPr>
          <w:rFonts w:eastAsia="方正小标宋简体"/>
          <w:color w:val="auto"/>
          <w:sz w:val="44"/>
          <w:szCs w:val="44"/>
        </w:rPr>
      </w:pPr>
      <w:r>
        <w:rPr>
          <w:rFonts w:eastAsia="方正小标宋简体"/>
          <w:color w:val="auto"/>
          <w:sz w:val="36"/>
          <w:szCs w:val="36"/>
        </w:rPr>
        <w:t>设定依据</w:t>
      </w:r>
    </w:p>
    <w:tbl>
      <w:tblPr>
        <w:tblStyle w:val="4"/>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358"/>
        <w:gridCol w:w="1640"/>
        <w:gridCol w:w="59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9" w:type="pct"/>
            <w:vMerge w:val="restart"/>
            <w:shd w:val="clear" w:color="auto" w:fill="auto"/>
            <w:noWrap/>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设定依据1</w:t>
            </w:r>
          </w:p>
        </w:tc>
        <w:tc>
          <w:tcPr>
            <w:tcW w:w="917" w:type="pct"/>
            <w:shd w:val="clear" w:color="auto" w:fill="FFFFFF"/>
            <w:noWrap w:val="0"/>
            <w:vAlign w:val="center"/>
          </w:tcPr>
          <w:p>
            <w:pPr>
              <w:widowControl/>
              <w:ind w:right="-76"/>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法律法规名称</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《关于做好入河排污口和水功能区划相关工作的通知》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颁布机关</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0"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发布日期</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2019/4/1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1"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条款内容</w:t>
            </w:r>
          </w:p>
        </w:tc>
        <w:tc>
          <w:tcPr>
            <w:tcW w:w="3323" w:type="pct"/>
            <w:shd w:val="clear" w:color="auto" w:fill="FFFFFF"/>
            <w:noWrap w:val="0"/>
            <w:vAlign w:val="center"/>
          </w:tcPr>
          <w:p>
            <w:pPr>
              <w:widowControl/>
              <w:jc w:val="left"/>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第一条：2018年党和国家机构改革整合了过去分散的生态环境保护职责，将入河排污口设置管理和编制水功能区划职责由相关部门划转至生态环境部，实现了从污染源到排入水体的全链条管理，为加强环境污染治理，打好污染防治攻坚战奠定了重要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jc w:val="center"/>
        </w:trPr>
        <w:tc>
          <w:tcPr>
            <w:tcW w:w="759" w:type="pct"/>
            <w:vMerge w:val="restart"/>
            <w:shd w:val="clear" w:color="auto" w:fill="auto"/>
            <w:noWrap/>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设定依据2</w:t>
            </w: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pacing w:val="-6"/>
                <w:sz w:val="24"/>
                <w:szCs w:val="24"/>
                <w:lang w:bidi="ar"/>
              </w:rPr>
              <w:t>法律法规名称</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《入河排污口监督管理办法》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颁布机关</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发布日期</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2025/1/1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8"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条款内容</w:t>
            </w:r>
          </w:p>
        </w:tc>
        <w:tc>
          <w:tcPr>
            <w:tcW w:w="3323" w:type="pct"/>
            <w:shd w:val="clear" w:color="auto" w:fill="FFFFFF"/>
            <w:noWrap w:val="0"/>
            <w:vAlign w:val="center"/>
          </w:tcPr>
          <w:p>
            <w:pPr>
              <w:widowControl/>
              <w:jc w:val="both"/>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第七条 编制生态环境保护规划、江河湖泊水功能区划等，应当充分考虑入河排污口布局和管控要求。开展工业、农业、畜牧业、林业、能源、水利、交通、城市建设、旅游、自然资源开发的有关专项规划的环境影响评价，应当将入河排污口设置有关规定落实情况作为重要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2" w:hRule="atLeast"/>
          <w:jc w:val="center"/>
        </w:trPr>
        <w:tc>
          <w:tcPr>
            <w:tcW w:w="759" w:type="pct"/>
            <w:vMerge w:val="restart"/>
            <w:shd w:val="clear" w:color="auto" w:fill="auto"/>
            <w:noWrap/>
            <w:vAlign w:val="center"/>
          </w:tcPr>
          <w:p>
            <w:pPr>
              <w:widowControl/>
              <w:jc w:val="center"/>
              <w:textAlignment w:val="center"/>
              <w:rPr>
                <w:rStyle w:val="7"/>
                <w:rFonts w:hint="default" w:ascii="Times New Roman" w:hAnsi="Times New Roman" w:eastAsia="仿宋_GB2312" w:cs="Times New Roman"/>
                <w:color w:val="auto"/>
                <w:spacing w:val="-6"/>
                <w:sz w:val="24"/>
                <w:szCs w:val="24"/>
                <w:lang w:bidi="ar"/>
              </w:rPr>
            </w:pPr>
            <w:r>
              <w:rPr>
                <w:rFonts w:hint="default" w:ascii="Times New Roman" w:hAnsi="Times New Roman" w:eastAsia="仿宋_GB2312" w:cs="Times New Roman"/>
                <w:color w:val="auto"/>
                <w:kern w:val="0"/>
                <w:sz w:val="24"/>
                <w:szCs w:val="24"/>
                <w:lang w:bidi="ar"/>
              </w:rPr>
              <w:t>设定依据3</w:t>
            </w:r>
          </w:p>
        </w:tc>
        <w:tc>
          <w:tcPr>
            <w:tcW w:w="917" w:type="pct"/>
            <w:shd w:val="clear" w:color="auto" w:fill="FFFFFF"/>
            <w:noWrap w:val="0"/>
            <w:vAlign w:val="center"/>
          </w:tcPr>
          <w:p>
            <w:pPr>
              <w:widowControl/>
              <w:jc w:val="center"/>
              <w:textAlignment w:val="center"/>
              <w:rPr>
                <w:rStyle w:val="7"/>
                <w:rFonts w:hint="default" w:ascii="Times New Roman" w:hAnsi="Times New Roman" w:eastAsia="仿宋_GB2312" w:cs="Times New Roman"/>
                <w:color w:val="auto"/>
                <w:spacing w:val="-6"/>
                <w:sz w:val="24"/>
                <w:szCs w:val="24"/>
                <w:lang w:bidi="ar"/>
              </w:rPr>
            </w:pPr>
            <w:r>
              <w:rPr>
                <w:rStyle w:val="7"/>
                <w:rFonts w:hint="default" w:ascii="Times New Roman" w:hAnsi="Times New Roman" w:eastAsia="仿宋_GB2312" w:cs="Times New Roman"/>
                <w:color w:val="auto"/>
                <w:spacing w:val="-6"/>
                <w:sz w:val="24"/>
                <w:szCs w:val="24"/>
                <w:lang w:bidi="ar"/>
              </w:rPr>
              <w:t>法律法规名称</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《入河排污口监督管理办法》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8"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颁布机关</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发布日期</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2025/1/1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52"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条款内容</w:t>
            </w:r>
          </w:p>
        </w:tc>
        <w:tc>
          <w:tcPr>
            <w:tcW w:w="3323" w:type="pct"/>
            <w:shd w:val="clear" w:color="auto" w:fill="FFFFFF"/>
            <w:noWrap w:val="0"/>
            <w:vAlign w:val="center"/>
          </w:tcPr>
          <w:p>
            <w:pPr>
              <w:widowControl/>
              <w:jc w:val="both"/>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第十一条 设置工矿企业排污口、工业以及其他各类园区污水处理厂排污口和城镇污水处理厂排污口，应当按照本办法的规定，报有审批权的流域生态环境监督管理机构或者地方生态环境主管部门审批；未经批准的，禁止通过上述入河排污口排放污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jc w:val="center"/>
        </w:trPr>
        <w:tc>
          <w:tcPr>
            <w:tcW w:w="759" w:type="pct"/>
            <w:vMerge w:val="restart"/>
            <w:shd w:val="clear" w:color="auto" w:fill="auto"/>
            <w:noWrap/>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设定依据4</w:t>
            </w: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法</w:t>
            </w:r>
            <w:r>
              <w:rPr>
                <w:rStyle w:val="7"/>
                <w:rFonts w:hint="default" w:ascii="Times New Roman" w:hAnsi="Times New Roman" w:eastAsia="仿宋_GB2312" w:cs="Times New Roman"/>
                <w:color w:val="auto"/>
                <w:spacing w:val="-6"/>
                <w:sz w:val="24"/>
                <w:szCs w:val="24"/>
                <w:lang w:bidi="ar"/>
              </w:rPr>
              <w:t>律法规名称</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《入河排污口监督管理办法》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颁布机关</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发布日期</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2025/1/1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3"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条款内容</w:t>
            </w:r>
          </w:p>
        </w:tc>
        <w:tc>
          <w:tcPr>
            <w:tcW w:w="3323" w:type="pct"/>
            <w:shd w:val="clear" w:color="auto" w:fill="FFFFFF"/>
            <w:noWrap w:val="0"/>
            <w:vAlign w:val="center"/>
          </w:tcPr>
          <w:p>
            <w:pPr>
              <w:widowControl/>
              <w:spacing w:line="300" w:lineRule="exact"/>
              <w:jc w:val="both"/>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第四条国务院生态环境主管部门负责指导全国入河排污口设置和监督管理。国务院生态环境主管部门所属流域生态环境监督管理机构负责指导流域内入河排污口设置，承办国务院生态环境主管部门授权范围内入河排污口设置审批和监督管理。地方生态环境主管部门按照规定权限负责本行政区域入河排污口设置审批、登记和监督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1" w:hRule="atLeast"/>
          <w:jc w:val="center"/>
        </w:trPr>
        <w:tc>
          <w:tcPr>
            <w:tcW w:w="759" w:type="pct"/>
            <w:vMerge w:val="restart"/>
            <w:shd w:val="clear" w:color="auto" w:fill="auto"/>
            <w:noWrap/>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设定依据5</w:t>
            </w:r>
          </w:p>
        </w:tc>
        <w:tc>
          <w:tcPr>
            <w:tcW w:w="917" w:type="pct"/>
            <w:shd w:val="clear" w:color="auto" w:fill="FFFFFF"/>
            <w:noWrap w:val="0"/>
            <w:vAlign w:val="center"/>
          </w:tcPr>
          <w:p>
            <w:pPr>
              <w:widowControl/>
              <w:ind w:right="-136" w:hanging="140"/>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法律法规名称</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《黑龙江省水污染防治条例》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5"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颁布机关</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pacing w:val="-11"/>
                <w:sz w:val="24"/>
                <w:szCs w:val="24"/>
                <w:highlight w:val="none"/>
                <w:lang w:bidi="ar"/>
              </w:rPr>
              <w:t>黑龙江省第十四届人民代表大会常务委员会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发布日期</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2023/11/2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30"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条款内容</w:t>
            </w:r>
          </w:p>
        </w:tc>
        <w:tc>
          <w:tcPr>
            <w:tcW w:w="3323" w:type="pct"/>
            <w:shd w:val="clear" w:color="auto" w:fill="FFFFFF"/>
            <w:noWrap w:val="0"/>
            <w:vAlign w:val="center"/>
          </w:tcPr>
          <w:p>
            <w:pPr>
              <w:widowControl/>
              <w:jc w:val="both"/>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第十四条 建设单位在江河、湖泊等地表水体新建、改建、扩建排污口，应当取得生态环境主管部门或者流域生态环境监督管理机构同意。生态环境主管部门对可能影响防洪、供水、堤防安全、河势稳定的排污口设置审批，应当征求水行政主管部门或者有管理权限的流域管理机构的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759" w:type="pct"/>
            <w:vMerge w:val="restart"/>
            <w:shd w:val="clear" w:color="auto" w:fill="auto"/>
            <w:noWrap/>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设定依据6</w:t>
            </w:r>
          </w:p>
        </w:tc>
        <w:tc>
          <w:tcPr>
            <w:tcW w:w="917" w:type="pct"/>
            <w:shd w:val="clear" w:color="auto" w:fill="FFFFFF"/>
            <w:noWrap w:val="0"/>
            <w:vAlign w:val="center"/>
          </w:tcPr>
          <w:p>
            <w:pPr>
              <w:widowControl/>
              <w:ind w:right="-136" w:hanging="140"/>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法律法规名称</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《中华人民共和国环境保护法》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颁布机关</w:t>
            </w:r>
          </w:p>
        </w:tc>
        <w:tc>
          <w:tcPr>
            <w:tcW w:w="3323" w:type="pct"/>
            <w:shd w:val="clear" w:color="auto" w:fill="FFFFFF"/>
            <w:noWrap w:val="0"/>
            <w:vAlign w:val="center"/>
          </w:tcPr>
          <w:p>
            <w:pPr>
              <w:widowControl/>
              <w:jc w:val="center"/>
              <w:textAlignment w:val="center"/>
              <w:rPr>
                <w:rFonts w:hint="eastAsia"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全国人民代表大会</w:t>
            </w:r>
            <w:r>
              <w:rPr>
                <w:rStyle w:val="7"/>
                <w:rFonts w:hint="eastAsia" w:eastAsia="仿宋_GB2312" w:cs="Times New Roman"/>
                <w:color w:val="auto"/>
                <w:sz w:val="24"/>
                <w:szCs w:val="24"/>
                <w:lang w:eastAsia="zh-CN" w:bidi="ar"/>
              </w:rPr>
              <w:t>常务委员会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发布日期</w:t>
            </w:r>
          </w:p>
        </w:tc>
        <w:tc>
          <w:tcPr>
            <w:tcW w:w="3323"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2014/4/24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52"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bidi="ar"/>
              </w:rPr>
              <w:t>条款内容</w:t>
            </w:r>
          </w:p>
        </w:tc>
        <w:tc>
          <w:tcPr>
            <w:tcW w:w="3323" w:type="pct"/>
            <w:shd w:val="clear" w:color="auto" w:fill="FFFFFF"/>
            <w:noWrap w:val="0"/>
            <w:vAlign w:val="center"/>
          </w:tcPr>
          <w:p>
            <w:pPr>
              <w:widowControl/>
              <w:jc w:val="both"/>
              <w:textAlignment w:val="center"/>
              <w:rPr>
                <w:rStyle w:val="7"/>
                <w:rFonts w:hint="default" w:ascii="Times New Roman" w:hAnsi="Times New Roman" w:eastAsia="仿宋_GB2312" w:cs="Times New Roman"/>
                <w:color w:val="auto"/>
                <w:sz w:val="24"/>
                <w:szCs w:val="24"/>
                <w:lang w:bidi="ar"/>
              </w:rPr>
            </w:pPr>
            <w:r>
              <w:rPr>
                <w:rStyle w:val="7"/>
                <w:rFonts w:hint="default" w:ascii="Times New Roman" w:hAnsi="Times New Roman" w:eastAsia="仿宋_GB2312" w:cs="Times New Roman"/>
                <w:color w:val="auto"/>
                <w:sz w:val="24"/>
                <w:szCs w:val="24"/>
                <w:lang w:bidi="ar"/>
              </w:rPr>
              <w:t>第十九条 编制有关开发利用规划，建设对环境有影响的项目，应当依法进行环境影响评价。未依法进行环境影响评价的开发利用规划，不得组织实施；未依法进行环境影响评价的建设项目，不得开工建设。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759" w:type="pct"/>
            <w:vMerge w:val="restart"/>
            <w:shd w:val="clear" w:color="auto" w:fill="auto"/>
            <w:noWrap/>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设定依据7</w:t>
            </w:r>
          </w:p>
        </w:tc>
        <w:tc>
          <w:tcPr>
            <w:tcW w:w="917" w:type="pct"/>
            <w:shd w:val="clear" w:color="auto" w:fill="FFFFFF"/>
            <w:noWrap w:val="0"/>
            <w:vAlign w:val="center"/>
          </w:tcPr>
          <w:p>
            <w:pPr>
              <w:widowControl/>
              <w:ind w:right="-136" w:hanging="140"/>
              <w:jc w:val="center"/>
              <w:textAlignment w:val="center"/>
              <w:rPr>
                <w:rStyle w:val="7"/>
                <w:rFonts w:hint="default" w:ascii="Times New Roman" w:hAnsi="Times New Roman" w:eastAsia="仿宋_GB2312" w:cs="Times New Roman"/>
                <w:color w:val="auto"/>
                <w:sz w:val="24"/>
                <w:szCs w:val="24"/>
                <w:lang w:bidi="ar"/>
              </w:rPr>
            </w:pPr>
            <w:r>
              <w:rPr>
                <w:rStyle w:val="7"/>
                <w:rFonts w:hint="default" w:ascii="Times New Roman" w:hAnsi="Times New Roman" w:eastAsia="仿宋_GB2312" w:cs="Times New Roman"/>
                <w:color w:val="auto"/>
                <w:sz w:val="24"/>
                <w:szCs w:val="24"/>
                <w:lang w:bidi="ar"/>
              </w:rPr>
              <w:t>法律法规名称</w:t>
            </w:r>
          </w:p>
        </w:tc>
        <w:tc>
          <w:tcPr>
            <w:tcW w:w="3323" w:type="pct"/>
            <w:shd w:val="clear" w:color="auto" w:fill="FFFFFF"/>
            <w:noWrap w:val="0"/>
            <w:vAlign w:val="center"/>
          </w:tcPr>
          <w:p>
            <w:pPr>
              <w:widowControl/>
              <w:jc w:val="center"/>
              <w:textAlignment w:val="center"/>
              <w:rPr>
                <w:rStyle w:val="7"/>
                <w:rFonts w:hint="default" w:ascii="Times New Roman" w:hAnsi="Times New Roman" w:eastAsia="仿宋_GB2312" w:cs="Times New Roman"/>
                <w:color w:val="auto"/>
                <w:sz w:val="24"/>
                <w:szCs w:val="24"/>
                <w:lang w:bidi="ar"/>
              </w:rPr>
            </w:pPr>
            <w:r>
              <w:rPr>
                <w:rStyle w:val="7"/>
                <w:rFonts w:hint="default" w:ascii="Times New Roman" w:hAnsi="Times New Roman" w:eastAsia="仿宋_GB2312" w:cs="Times New Roman"/>
                <w:color w:val="auto"/>
                <w:sz w:val="24"/>
                <w:szCs w:val="24"/>
                <w:lang w:bidi="ar"/>
              </w:rPr>
              <w:t>《排污许可管理条例》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2"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Style w:val="7"/>
                <w:rFonts w:hint="default" w:ascii="Times New Roman" w:hAnsi="Times New Roman" w:eastAsia="仿宋_GB2312" w:cs="Times New Roman"/>
                <w:color w:val="auto"/>
                <w:sz w:val="24"/>
                <w:szCs w:val="24"/>
                <w:lang w:bidi="ar"/>
              </w:rPr>
            </w:pPr>
            <w:r>
              <w:rPr>
                <w:rStyle w:val="7"/>
                <w:rFonts w:hint="default" w:ascii="Times New Roman" w:hAnsi="Times New Roman" w:eastAsia="仿宋_GB2312" w:cs="Times New Roman"/>
                <w:color w:val="auto"/>
                <w:sz w:val="24"/>
                <w:szCs w:val="24"/>
              </w:rPr>
              <w:t>颁布机关</w:t>
            </w:r>
          </w:p>
        </w:tc>
        <w:tc>
          <w:tcPr>
            <w:tcW w:w="3323" w:type="pct"/>
            <w:shd w:val="clear" w:color="auto" w:fill="FFFFFF"/>
            <w:noWrap w:val="0"/>
            <w:vAlign w:val="center"/>
          </w:tcPr>
          <w:p>
            <w:pPr>
              <w:widowControl/>
              <w:jc w:val="center"/>
              <w:textAlignment w:val="center"/>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国务院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2"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Style w:val="7"/>
                <w:rFonts w:hint="default" w:ascii="Times New Roman" w:hAnsi="Times New Roman" w:eastAsia="仿宋_GB2312" w:cs="Times New Roman"/>
                <w:color w:val="auto"/>
                <w:sz w:val="24"/>
                <w:szCs w:val="24"/>
                <w:lang w:bidi="ar"/>
              </w:rPr>
            </w:pPr>
            <w:r>
              <w:rPr>
                <w:rStyle w:val="7"/>
                <w:rFonts w:hint="default" w:ascii="Times New Roman" w:hAnsi="Times New Roman" w:eastAsia="仿宋_GB2312" w:cs="Times New Roman"/>
                <w:color w:val="auto"/>
                <w:sz w:val="24"/>
                <w:szCs w:val="24"/>
              </w:rPr>
              <w:t>发布日期</w:t>
            </w:r>
          </w:p>
        </w:tc>
        <w:tc>
          <w:tcPr>
            <w:tcW w:w="3323" w:type="pct"/>
            <w:shd w:val="clear" w:color="auto" w:fill="FFFFFF"/>
            <w:noWrap w:val="0"/>
            <w:vAlign w:val="center"/>
          </w:tcPr>
          <w:p>
            <w:pPr>
              <w:widowControl/>
              <w:jc w:val="center"/>
              <w:textAlignment w:val="center"/>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kern w:val="0"/>
                <w:sz w:val="24"/>
                <w:szCs w:val="24"/>
                <w:lang w:bidi="ar"/>
              </w:rPr>
              <w:t>/</w:t>
            </w:r>
            <w:r>
              <w:rPr>
                <w:rStyle w:val="7"/>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kern w:val="0"/>
                <w:sz w:val="24"/>
                <w:szCs w:val="24"/>
                <w:lang w:bidi="ar"/>
              </w:rPr>
              <w:t>/</w:t>
            </w:r>
            <w:r>
              <w:rPr>
                <w:rStyle w:val="7"/>
                <w:rFonts w:hint="default" w:ascii="Times New Roman" w:hAnsi="Times New Roman" w:eastAsia="仿宋_GB2312" w:cs="Times New Roman"/>
                <w:color w:val="auto"/>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759" w:type="pct"/>
            <w:vMerge w:val="continue"/>
            <w:shd w:val="clear" w:color="auto" w:fill="auto"/>
            <w:noWrap/>
            <w:vAlign w:val="center"/>
          </w:tcPr>
          <w:p>
            <w:pPr>
              <w:jc w:val="center"/>
              <w:rPr>
                <w:rFonts w:hint="default" w:ascii="Times New Roman" w:hAnsi="Times New Roman" w:eastAsia="仿宋_GB2312" w:cs="Times New Roman"/>
                <w:color w:val="auto"/>
                <w:sz w:val="24"/>
                <w:szCs w:val="24"/>
              </w:rPr>
            </w:pPr>
          </w:p>
        </w:tc>
        <w:tc>
          <w:tcPr>
            <w:tcW w:w="917" w:type="pct"/>
            <w:shd w:val="clear" w:color="auto" w:fill="FFFFFF"/>
            <w:noWrap w:val="0"/>
            <w:vAlign w:val="center"/>
          </w:tcPr>
          <w:p>
            <w:pPr>
              <w:widowControl/>
              <w:jc w:val="center"/>
              <w:textAlignment w:val="center"/>
              <w:rPr>
                <w:rStyle w:val="7"/>
                <w:rFonts w:hint="default" w:ascii="Times New Roman" w:hAnsi="Times New Roman" w:eastAsia="仿宋_GB2312" w:cs="Times New Roman"/>
                <w:color w:val="auto"/>
                <w:sz w:val="24"/>
                <w:szCs w:val="24"/>
                <w:lang w:bidi="ar"/>
              </w:rPr>
            </w:pPr>
            <w:r>
              <w:rPr>
                <w:rStyle w:val="7"/>
                <w:rFonts w:hint="default" w:ascii="Times New Roman" w:hAnsi="Times New Roman" w:eastAsia="仿宋_GB2312" w:cs="Times New Roman"/>
                <w:color w:val="auto"/>
                <w:sz w:val="24"/>
                <w:szCs w:val="24"/>
              </w:rPr>
              <w:t>条款内容</w:t>
            </w:r>
          </w:p>
        </w:tc>
        <w:tc>
          <w:tcPr>
            <w:tcW w:w="3323" w:type="pct"/>
            <w:shd w:val="clear" w:color="auto" w:fill="FFFFFF"/>
            <w:noWrap w:val="0"/>
            <w:vAlign w:val="center"/>
          </w:tcPr>
          <w:p>
            <w:pPr>
              <w:widowControl/>
              <w:jc w:val="both"/>
              <w:textAlignment w:val="center"/>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第二条　依照法律规定实行排污许可管理的企业事业单位和其他生产经营者（以下称排污单位），应当依照本条例规定申请取得排污许可证；未取得排污许可证的，不得排放污染物。根据污染物产生量、排放量、对环境的影响程度等因素，对排污单位实行排污许可分类管理：（一）污染物产生量、排放量或者对环境的影响程度较大的排污单位，实行排污许可重点管理；（二）污染物产生量、排放量和对环境的影响程度都较小的排污单位，实行排污许可简化管理。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tc>
      </w:tr>
    </w:tbl>
    <w:p>
      <w:pPr>
        <w:tabs>
          <w:tab w:val="left" w:pos="5245"/>
        </w:tabs>
        <w:spacing w:line="620" w:lineRule="exact"/>
        <w:rPr>
          <w:rFonts w:eastAsia="黑体"/>
        </w:rPr>
        <w:sectPr>
          <w:headerReference r:id="rId5" w:type="default"/>
          <w:footerReference r:id="rId6" w:type="default"/>
          <w:pgSz w:w="11906" w:h="16838"/>
          <w:pgMar w:top="1701" w:right="1587" w:bottom="1587" w:left="1588" w:header="851" w:footer="992" w:gutter="0"/>
          <w:pgNumType w:fmt="decimal"/>
          <w:cols w:space="720" w:num="1"/>
          <w:rtlGutter w:val="0"/>
          <w:docGrid w:type="lines" w:linePitch="318" w:charSpace="0"/>
        </w:sectPr>
      </w:pPr>
    </w:p>
    <w:p>
      <w:pPr>
        <w:tabs>
          <w:tab w:val="left" w:pos="5245"/>
        </w:tabs>
        <w:spacing w:line="620" w:lineRule="exact"/>
        <w:rPr>
          <w:rFonts w:eastAsia="黑体"/>
        </w:rPr>
      </w:pPr>
    </w:p>
    <w:p/>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color w:val="000000"/>
          <w:spacing w:val="-20"/>
          <w:w w:val="100"/>
          <w:sz w:val="28"/>
          <w:szCs w:val="28"/>
          <w:lang w:eastAsia="zh-CN"/>
        </w:rPr>
      </w:pPr>
    </w:p>
    <w:p>
      <w:pPr>
        <w:spacing w:line="500" w:lineRule="exact"/>
        <w:jc w:val="center"/>
        <w:rPr>
          <w:rFonts w:hint="eastAsia"/>
          <w:color w:val="000000"/>
          <w:spacing w:val="-20"/>
          <w:w w:val="100"/>
          <w:sz w:val="120"/>
          <w:szCs w:val="120"/>
        </w:rPr>
      </w:pPr>
    </w:p>
    <w:p>
      <w:pPr>
        <w:spacing w:line="500" w:lineRule="exact"/>
        <w:jc w:val="center"/>
        <w:rPr>
          <w:rFonts w:hint="eastAsia"/>
          <w:color w:val="000000"/>
          <w:spacing w:val="-20"/>
          <w:w w:val="100"/>
          <w:sz w:val="120"/>
          <w:szCs w:val="120"/>
        </w:rPr>
      </w:pPr>
    </w:p>
    <w:p>
      <w:pPr>
        <w:spacing w:line="500" w:lineRule="exact"/>
        <w:jc w:val="center"/>
        <w:rPr>
          <w:rFonts w:hint="eastAsia"/>
          <w:color w:val="000000"/>
          <w:spacing w:val="-20"/>
          <w:w w:val="100"/>
          <w:sz w:val="120"/>
          <w:szCs w:val="120"/>
        </w:rPr>
      </w:pPr>
    </w:p>
    <w:p>
      <w:pPr>
        <w:spacing w:line="500" w:lineRule="exact"/>
        <w:jc w:val="center"/>
        <w:rPr>
          <w:rFonts w:hint="eastAsia"/>
          <w:color w:val="000000"/>
          <w:spacing w:val="-20"/>
          <w:w w:val="100"/>
          <w:sz w:val="120"/>
          <w:szCs w:val="120"/>
        </w:rPr>
      </w:pPr>
    </w:p>
    <w:p>
      <w:pPr>
        <w:spacing w:line="500" w:lineRule="exact"/>
        <w:jc w:val="center"/>
        <w:rPr>
          <w:rFonts w:hint="default" w:ascii="仿宋_GB2312" w:hAnsi="仿宋_GB2312" w:eastAsia="仿宋_GB2312" w:cs="仿宋_GB2312"/>
          <w:color w:val="000000"/>
          <w:spacing w:val="-20"/>
          <w:w w:val="100"/>
          <w:sz w:val="32"/>
          <w:szCs w:val="32"/>
          <w:lang w:val="en-US" w:eastAsia="zh-CN"/>
        </w:rPr>
      </w:pPr>
      <w:r>
        <w:rPr>
          <w:rFonts w:hint="eastAsia" w:ascii="仿宋_GB2312" w:hAnsi="仿宋_GB2312" w:eastAsia="仿宋_GB2312" w:cs="仿宋_GB2312"/>
          <w:color w:val="000000"/>
          <w:spacing w:val="-20"/>
          <w:w w:val="100"/>
          <w:sz w:val="28"/>
          <w:szCs w:val="28"/>
          <w:lang w:val="en-US" w:eastAsia="zh-CN"/>
        </w:rPr>
        <w:t xml:space="preserve">                                      </w:t>
      </w:r>
      <w:r>
        <w:rPr>
          <w:rFonts w:hint="eastAsia" w:ascii="仿宋_GB2312" w:hAnsi="仿宋_GB2312" w:eastAsia="仿宋_GB2312" w:cs="仿宋_GB2312"/>
          <w:color w:val="000000"/>
          <w:spacing w:val="-20"/>
          <w:w w:val="100"/>
          <w:sz w:val="32"/>
          <w:szCs w:val="32"/>
          <w:lang w:val="en-US" w:eastAsia="zh-CN"/>
        </w:rPr>
        <w:t xml:space="preserve">                               </w:t>
      </w:r>
    </w:p>
    <w:p>
      <w:pPr>
        <w:spacing w:line="500" w:lineRule="exact"/>
        <w:jc w:val="center"/>
        <w:rPr>
          <w:rFonts w:hint="eastAsia"/>
          <w:color w:val="000000"/>
          <w:spacing w:val="-20"/>
          <w:w w:val="100"/>
          <w:sz w:val="120"/>
          <w:szCs w:val="120"/>
        </w:rPr>
      </w:pPr>
    </w:p>
    <w:tbl>
      <w:tblPr>
        <w:tblStyle w:val="4"/>
        <w:tblpPr w:leftFromText="181" w:rightFromText="181" w:vertAnchor="text" w:horzAnchor="page" w:tblpX="1468" w:tblpY="7912"/>
        <w:tblOverlap w:val="never"/>
        <w:tblW w:w="0" w:type="auto"/>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7"/>
        <w:gridCol w:w="3557"/>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7" w:type="dxa"/>
            <w:tcBorders>
              <w:top w:val="single" w:color="auto" w:sz="4" w:space="0"/>
              <w:left w:val="nil"/>
              <w:bottom w:val="single" w:color="auto" w:sz="6" w:space="0"/>
              <w:right w:val="nil"/>
            </w:tcBorders>
            <w:noWrap w:val="0"/>
            <w:vAlign w:val="bottom"/>
          </w:tcPr>
          <w:p>
            <w:pPr>
              <w:ind w:left="210" w:leftChars="100"/>
              <w:jc w:val="left"/>
              <w:rPr>
                <w:rFonts w:hint="default" w:ascii="Times New Roman" w:hAnsi="Times New Roman" w:eastAsia="仿宋_GB2312" w:cs="Times New Roman"/>
                <w:sz w:val="28"/>
              </w:rPr>
            </w:pPr>
            <w:r>
              <w:rPr>
                <w:rFonts w:hint="default" w:ascii="Times New Roman" w:hAnsi="Times New Roman" w:eastAsia="仿宋_GB2312" w:cs="Times New Roman"/>
                <w:sz w:val="28"/>
                <w:lang w:val="en-US" w:eastAsia="zh-CN"/>
              </w:rPr>
              <w:t>黑龙江省生态环境厅办公室</w:t>
            </w:r>
          </w:p>
        </w:tc>
        <w:tc>
          <w:tcPr>
            <w:tcW w:w="3557" w:type="dxa"/>
            <w:tcBorders>
              <w:top w:val="single" w:color="auto" w:sz="4" w:space="0"/>
              <w:left w:val="nil"/>
              <w:bottom w:val="single" w:color="auto" w:sz="6" w:space="0"/>
              <w:right w:val="nil"/>
            </w:tcBorders>
            <w:noWrap w:val="0"/>
            <w:vAlign w:val="bottom"/>
          </w:tcPr>
          <w:p>
            <w:pPr>
              <w:ind w:right="210" w:rightChars="100"/>
              <w:jc w:val="right"/>
              <w:rPr>
                <w:rFonts w:hint="default" w:ascii="Times New Roman" w:hAnsi="Times New Roman" w:eastAsia="仿宋_GB2312" w:cs="Times New Roman"/>
                <w:sz w:val="28"/>
              </w:rPr>
            </w:pPr>
            <w:r>
              <w:rPr>
                <w:rFonts w:hint="default" w:ascii="Times New Roman" w:hAnsi="Times New Roman" w:eastAsia="仿宋_GB2312" w:cs="Times New Roman"/>
                <w:sz w:val="28"/>
                <w:lang w:eastAsia="zh-CN"/>
              </w:rPr>
              <w:t>2025年</w:t>
            </w:r>
            <w:r>
              <w:rPr>
                <w:rFonts w:hint="eastAsia" w:ascii="Times New Roman" w:hAnsi="Times New Roman" w:eastAsia="仿宋_GB2312" w:cs="Times New Roman"/>
                <w:sz w:val="28"/>
                <w:lang w:val="en-US" w:eastAsia="zh-CN"/>
              </w:rPr>
              <w:t>9</w:t>
            </w:r>
            <w:r>
              <w:rPr>
                <w:rFonts w:hint="default" w:ascii="Times New Roman" w:hAnsi="Times New Roman" w:eastAsia="仿宋_GB2312" w:cs="Times New Roman"/>
                <w:sz w:val="28"/>
                <w:lang w:eastAsia="zh-CN"/>
              </w:rPr>
              <w:t>月</w:t>
            </w:r>
            <w:r>
              <w:rPr>
                <w:rFonts w:hint="eastAsia" w:ascii="Times New Roman" w:hAnsi="Times New Roman" w:eastAsia="仿宋_GB2312" w:cs="Times New Roman"/>
                <w:sz w:val="28"/>
                <w:lang w:val="en-US" w:eastAsia="zh-CN"/>
              </w:rPr>
              <w:t>2</w:t>
            </w:r>
            <w:r>
              <w:rPr>
                <w:rFonts w:hint="default" w:ascii="Times New Roman" w:hAnsi="Times New Roman" w:eastAsia="仿宋_GB2312" w:cs="Times New Roman"/>
                <w:sz w:val="28"/>
                <w:lang w:eastAsia="zh-CN"/>
              </w:rPr>
              <w:t>日</w:t>
            </w:r>
            <w:r>
              <w:rPr>
                <w:rFonts w:hint="default" w:ascii="Times New Roman" w:hAnsi="Times New Roman" w:eastAsia="仿宋_GB2312" w:cs="Times New Roman"/>
                <w:sz w:val="28"/>
              </w:rPr>
              <w:t xml:space="preserve">印发 </w:t>
            </w:r>
          </w:p>
        </w:tc>
      </w:tr>
    </w:tbl>
    <w:p>
      <w:pPr>
        <w:spacing w:line="500" w:lineRule="exact"/>
        <w:jc w:val="center"/>
        <w:rPr>
          <w:rFonts w:hint="eastAsia"/>
          <w:color w:val="FF0000"/>
          <w:spacing w:val="-20"/>
          <w:w w:val="100"/>
          <w:sz w:val="120"/>
          <w:szCs w:val="120"/>
        </w:rPr>
      </w:pPr>
    </w:p>
    <w:p/>
    <w:sectPr>
      <w:footerReference r:id="rId7" w:type="default"/>
      <w:pgSz w:w="11906" w:h="16838"/>
      <w:pgMar w:top="1701" w:right="1587" w:bottom="1587" w:left="1588"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-288290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2.7pt;height:144pt;width:144pt;mso-position-horizontal:outside;mso-position-horizontal-relative:margin;mso-wrap-style:none;z-index:251659264;mso-width-relative:page;mso-height-relative:page;" filled="f" stroked="f" coordsize="21600,21600" o:gfxdata="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dKla9YAAAAIAQAADwAAAAAAAAABACAAAAAi&#10;AAAAZHJzL2Rvd25yZXYueG1sUEsBAhQAFAAAAAgAh07iQI1NZZbTAQAApAMAAA4AAAAAAAAAAQAg&#10;AAAAJQEAAGRycy9lMm9Eb2MueG1sUEsFBgAAAAAGAAYAWQEAAGoFAAAAAA==&#10;">
              <v:path/>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-288290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2.7pt;height:144pt;width:144pt;mso-position-horizontal:outside;mso-position-horizontal-relative:margin;mso-wrap-style:none;z-index:251660288;mso-width-relative:page;mso-height-relative:page;" filled="f" stroked="f" coordsize="21600,21600" o:gfxdata="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&#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dKla9YAAAAIAQAADwAAAAAAAAABACAAAAAiAAAA&#10;ZHJzL2Rvd25yZXYueG1sUEsBAhQAFAAAAAgAh07iQIvhV3XQAQAAogMAAA4AAAAAAAAAAQAgAAAA&#10;JQEAAGRycy9lMm9Eb2MueG1sUEsFBgAAAAAGAAYAWQEAAGcFAAAAAA==&#10;">
              <v:path/>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-288290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2.7pt;height:144pt;width:144pt;mso-position-horizontal:outside;mso-position-horizontal-relative:margin;mso-wrap-style:none;z-index:251661312;mso-width-relative:page;mso-height-relative:page;" filled="f" stroked="f" coordsize="21600,21600" o:gfxdata="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Rf7GdgAAAAIAQAADwAAAAAAAAABACAAAAAi&#10;AAAAZHJzL2Rvd25yZXYueG1sUEsBAhQAFAAAAAgAh07iQF4lRnTRAQAAowMAAA4AAAAAAAAAAQAg&#10;AAAAJwEAAGRycy9lMm9Eb2MueG1sUEsFBgAAAAAGAAYAWQEAAGoFAAAAAA==&#10;">
              <v:path/>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5927F"/>
    <w:multiLevelType w:val="singleLevel"/>
    <w:tmpl w:val="EE4592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D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仿宋_GB2312" w:cs="Times New Roman"/>
      <w:kern w:val="0"/>
      <w:sz w:val="24"/>
      <w:szCs w:val="32"/>
      <w:lang w:val="en-US" w:eastAsia="zh-CN" w:bidi="ar"/>
    </w:rPr>
  </w:style>
  <w:style w:type="character" w:styleId="6">
    <w:name w:val="Strong"/>
    <w:basedOn w:val="5"/>
    <w:qFormat/>
    <w:uiPriority w:val="0"/>
    <w:rPr>
      <w:b/>
      <w:bCs/>
    </w:rPr>
  </w:style>
  <w:style w:type="character" w:customStyle="1" w:styleId="7">
    <w:name w:val="font11"/>
    <w:qFormat/>
    <w:uiPriority w:val="0"/>
    <w:rPr>
      <w:rFonts w:hint="default" w:ascii="Helvetica" w:hAnsi="Helvetica" w:eastAsia="Helvetica" w:cs="Helvetic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2025-09-22T02:32:18Z</dcterms:created>
  <dc:creator>Lenovo</dc:creator>
  <cp:lastModifiedBy>原芳</cp:lastModifiedBy>
  <dcterms:modified xsi:type="dcterms:W3CDTF">2025-09-22T02:33:06Z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1AE3EC7E09B549179588A33E740E5B0D</vt:lpwstr>
  </property>
</Properties>
</file>